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color w:val="00C8C8"/>
          <w:sz w:val="20"/>
          <w:szCs w:val="20"/>
        </w:rPr>
        <w:t xml:space="preserve">ChronoAI Solutions</w:t>
      </w:r>
    </w:p>
    <w:p>
      <w:pPr>
        <w:spacing w:after="80" w:before="0"/>
        <w:jc w:val="center"/>
      </w:pPr>
      <w:r>
        <w:rPr>
          <w:rFonts w:ascii="Arial" w:cs="Arial" w:eastAsia="Arial" w:hAnsi="Arial"/>
          <w:b/>
          <w:bCs/>
          <w:color w:val="1A1A1A"/>
          <w:sz w:val="36"/>
          <w:szCs w:val="36"/>
        </w:rPr>
        <w:t xml:space="preserve">Quantum Threshold Sweep: Crossover Point Characterization</w:t>
      </w:r>
    </w:p>
    <w:p>
      <w:pPr>
        <w:spacing w:after="80" w:before="0"/>
        <w:jc w:val="center"/>
      </w:pPr>
      <w:r>
        <w:rPr>
          <w:rFonts w:ascii="Arial" w:cs="Arial" w:eastAsia="Arial" w:hAnsi="Arial"/>
          <w:i/>
          <w:iCs/>
          <w:color w:val="666666"/>
          <w:sz w:val="20"/>
          <w:szCs w:val="20"/>
        </w:rPr>
        <w:t xml:space="preserve">Addendum to: Context as a Safety Mechanism — A Unified Framework</w:t>
      </w:r>
    </w:p>
    <w:p>
      <w:pPr>
        <w:spacing w:after="320" w:before="0"/>
        <w:jc w:val="center"/>
      </w:pPr>
      <w:r>
        <w:rPr>
          <w:rFonts w:ascii="Arial" w:cs="Arial" w:eastAsia="Arial" w:hAnsi="Arial"/>
          <w:color w:val="888888"/>
          <w:sz w:val="18"/>
          <w:szCs w:val="18"/>
        </w:rPr>
        <w:t xml:space="preserve">June 2026  |  Michael Fullmer  |  ORCID: 0009-0009-6926-3240</w:t>
      </w:r>
    </w:p>
    <w:p>
      <w:pPr>
        <w:pBdr>
          <w:bottom w:val="single" w:color="00C8C8" w:sz="4" w:space="1"/>
        </w:pBdr>
        <w:spacing w:after="160" w:before="160"/>
      </w:pPr>
    </w:p>
    <w:p>
      <w:pPr>
        <w:pStyle w:val="Heading1"/>
        <w:spacing w:after="120" w:before="240"/>
      </w:pPr>
      <w:r>
        <w:rPr>
          <w:rFonts w:ascii="Arial" w:cs="Arial" w:eastAsia="Arial" w:hAnsi="Arial"/>
          <w:b/>
          <w:bCs/>
          <w:color w:val="00C8C8"/>
          <w:sz w:val="32"/>
          <w:szCs w:val="32"/>
        </w:rPr>
        <w:t xml:space="preserve">1. Experiment Overview</w:t>
      </w:r>
    </w:p>
    <w:p>
      <w:pPr>
        <w:spacing w:after="120" w:before="80"/>
        <w:jc w:val="left"/>
      </w:pPr>
      <w:r>
        <w:rPr>
          <w:rFonts w:ascii="Arial" w:cs="Arial" w:eastAsia="Arial" w:hAnsi="Arial"/>
          <w:b w:val="false"/>
          <w:bCs w:val="false"/>
          <w:color w:val="1A1A1A"/>
          <w:sz w:val="20"/>
          <w:szCs w:val="20"/>
        </w:rPr>
        <w:t xml:space="preserve">This addendum documents the results of a systematic quantum threshold sweep conducted to characterize the crossover point in the Quantum Context Selection Layer (QCSL) routing circuit. Previous experiments established the existence of the Scenario 3 anomaly — low revenue signal with high technical signal collapsing to Active Sales Mode rather than expected Deep Technical Build routing. This sweep maps the full revenue input space to determine where the anomaly begins, where it ends, and the precise point of transition.</w:t>
      </w:r>
    </w:p>
    <w:p>
      <w:r>
        <w:t xml:space="preserve"/>
      </w:r>
    </w:p>
    <w:p>
      <w:pPr>
        <w:pStyle w:val="Heading1"/>
        <w:spacing w:after="120" w:before="240"/>
      </w:pPr>
      <w:r>
        <w:rPr>
          <w:rFonts w:ascii="Arial" w:cs="Arial" w:eastAsia="Arial" w:hAnsi="Arial"/>
          <w:b/>
          <w:bCs/>
          <w:color w:val="00C8C8"/>
          <w:sz w:val="32"/>
          <w:szCs w:val="32"/>
        </w:rPr>
        <w:t xml:space="preserve">2. Methodology</w:t>
      </w:r>
    </w:p>
    <w:p>
      <w:pPr>
        <w:spacing w:after="120" w:before="80"/>
        <w:jc w:val="left"/>
      </w:pPr>
      <w:r>
        <w:rPr>
          <w:rFonts w:ascii="Arial" w:cs="Arial" w:eastAsia="Arial" w:hAnsi="Arial"/>
          <w:b w:val="false"/>
          <w:bCs w:val="false"/>
          <w:color w:val="1A1A1A"/>
          <w:sz w:val="20"/>
          <w:szCs w:val="20"/>
        </w:rPr>
        <w:t xml:space="preserve">Circuit architecture:</w:t>
      </w:r>
    </w:p>
    <w:p>
      <w:pPr>
        <w:pStyle w:val="ListParagraph"/>
        <w:numPr>
          <w:ilvl w:val="0"/>
          <w:numId w:val="2"/>
        </w:numPr>
        <w:spacing w:after="40" w:before="40"/>
      </w:pPr>
      <w:r>
        <w:rPr>
          <w:rFonts w:ascii="Arial" w:cs="Arial" w:eastAsia="Arial" w:hAnsi="Arial"/>
          <w:color w:val="1A1A1A"/>
          <w:sz w:val="20"/>
          <w:szCs w:val="20"/>
        </w:rPr>
        <w:t xml:space="preserve">RY(revenue × π) applied to qubit 0 — encodes revenue signal</w:t>
      </w:r>
    </w:p>
    <w:p>
      <w:pPr>
        <w:pStyle w:val="ListParagraph"/>
        <w:numPr>
          <w:ilvl w:val="0"/>
          <w:numId w:val="2"/>
        </w:numPr>
        <w:spacing w:after="40" w:before="40"/>
      </w:pPr>
      <w:r>
        <w:rPr>
          <w:rFonts w:ascii="Arial" w:cs="Arial" w:eastAsia="Arial" w:hAnsi="Arial"/>
          <w:color w:val="1A1A1A"/>
          <w:sz w:val="20"/>
          <w:szCs w:val="20"/>
        </w:rPr>
        <w:t xml:space="preserve">RY(0.9 × π) applied to qubit 1 — technical signal fixed at 0.9</w:t>
      </w:r>
    </w:p>
    <w:p>
      <w:pPr>
        <w:pStyle w:val="ListParagraph"/>
        <w:numPr>
          <w:ilvl w:val="0"/>
          <w:numId w:val="2"/>
        </w:numPr>
        <w:spacing w:after="40" w:before="40"/>
      </w:pPr>
      <w:r>
        <w:rPr>
          <w:rFonts w:ascii="Arial" w:cs="Arial" w:eastAsia="Arial" w:hAnsi="Arial"/>
          <w:color w:val="1A1A1A"/>
          <w:sz w:val="20"/>
          <w:szCs w:val="20"/>
        </w:rPr>
        <w:t xml:space="preserve">CNOT(q0 → q1) — entangles qubits, allows revenue to influence technical routing</w:t>
      </w:r>
    </w:p>
    <w:p>
      <w:pPr>
        <w:pStyle w:val="ListParagraph"/>
        <w:numPr>
          <w:ilvl w:val="0"/>
          <w:numId w:val="2"/>
        </w:numPr>
        <w:spacing w:after="40" w:before="40"/>
      </w:pPr>
      <w:r>
        <w:rPr>
          <w:rFonts w:ascii="Arial" w:cs="Arial" w:eastAsia="Arial" w:hAnsi="Arial"/>
          <w:color w:val="1A1A1A"/>
          <w:sz w:val="20"/>
          <w:szCs w:val="20"/>
        </w:rPr>
        <w:t xml:space="preserve">Measurement of both qubits</w:t>
      </w:r>
    </w:p>
    <w:p>
      <w:r>
        <w:t xml:space="preserve"/>
      </w:r>
    </w:p>
    <w:p>
      <w:pPr>
        <w:spacing w:after="120" w:before="80"/>
        <w:jc w:val="left"/>
      </w:pPr>
      <w:r>
        <w:rPr>
          <w:rFonts w:ascii="Arial" w:cs="Arial" w:eastAsia="Arial" w:hAnsi="Arial"/>
          <w:b w:val="false"/>
          <w:bCs w:val="false"/>
          <w:color w:val="1A1A1A"/>
          <w:sz w:val="20"/>
          <w:szCs w:val="20"/>
        </w:rPr>
        <w:t xml:space="preserve">The sweep was conducted in two phases:</w:t>
      </w:r>
    </w:p>
    <w:p>
      <w:pPr>
        <w:pStyle w:val="ListParagraph"/>
        <w:numPr>
          <w:ilvl w:val="0"/>
          <w:numId w:val="2"/>
        </w:numPr>
        <w:spacing w:after="40" w:before="40"/>
      </w:pPr>
      <w:r>
        <w:rPr>
          <w:rFonts w:ascii="Arial" w:cs="Arial" w:eastAsia="Arial" w:hAnsi="Arial"/>
          <w:color w:val="1A1A1A"/>
          <w:sz w:val="20"/>
          <w:szCs w:val="20"/>
        </w:rPr>
        <w:t xml:space="preserve">Broad sweep: revenue 0.0 to 1.0 in 0.1 increments, 100 shots per combination, run on local simulator, IonQ Forte Enterprise 1 (trapped ion), and IQM Garnet (superconducting)</w:t>
      </w:r>
    </w:p>
    <w:p>
      <w:pPr>
        <w:pStyle w:val="ListParagraph"/>
        <w:numPr>
          <w:ilvl w:val="0"/>
          <w:numId w:val="2"/>
        </w:numPr>
        <w:spacing w:after="40" w:before="40"/>
      </w:pPr>
      <w:r>
        <w:rPr>
          <w:rFonts w:ascii="Arial" w:cs="Arial" w:eastAsia="Arial" w:hAnsi="Arial"/>
          <w:color w:val="1A1A1A"/>
          <w:sz w:val="20"/>
          <w:szCs w:val="20"/>
        </w:rPr>
        <w:t xml:space="preserve">Fine-grained sweep: revenue 0.45 to 0.65 in 0.02 increments, 1000 shots per combination, local simulator</w:t>
      </w:r>
    </w:p>
    <w:p>
      <w:r>
        <w:t xml:space="preserve"/>
      </w:r>
    </w:p>
    <w:p>
      <w:pPr>
        <w:pStyle w:val="Heading1"/>
        <w:spacing w:after="120" w:before="240"/>
      </w:pPr>
      <w:r>
        <w:rPr>
          <w:rFonts w:ascii="Arial" w:cs="Arial" w:eastAsia="Arial" w:hAnsi="Arial"/>
          <w:b/>
          <w:bCs/>
          <w:color w:val="00C8C8"/>
          <w:sz w:val="32"/>
          <w:szCs w:val="32"/>
        </w:rPr>
        <w:t xml:space="preserve">3. Results: Three-Way Cross-Architecture Validation</w:t>
      </w:r>
    </w:p>
    <w:p>
      <w:pPr>
        <w:spacing w:after="120" w:before="80"/>
        <w:jc w:val="left"/>
      </w:pPr>
      <w:r>
        <w:rPr>
          <w:rFonts w:ascii="Arial" w:cs="Arial" w:eastAsia="Arial" w:hAnsi="Arial"/>
          <w:b w:val="false"/>
          <w:bCs w:val="false"/>
          <w:color w:val="1A1A1A"/>
          <w:sz w:val="20"/>
          <w:szCs w:val="20"/>
        </w:rPr>
        <w:t xml:space="preserve">Revenue swept 0.0 to 1.0 with technical signal fixed at 0.9. Frame labels: 00 = Scrappy/No Budget, 01 = Active Sales Mode, 10 = Deep Technical Build, 11 = Strategic/Big Picture. Asterisk (*) denotes crossover point.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900"/>
        <w:gridCol w:w="1920"/>
        <w:gridCol w:w="1920"/>
        <w:gridCol w:w="1920"/>
      </w:tblGrid>
      <w:tr>
        <w:tc>
          <w:tcPr>
            <w:tcW w:type="dxa" w:w="90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Revenue</w:t>
            </w:r>
          </w:p>
        </w:tc>
        <w:tc>
          <w:tcPr>
            <w:tcW w:type="dxa" w:w="90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Technical</w:t>
            </w:r>
          </w:p>
        </w:tc>
        <w:tc>
          <w:tcPr>
            <w:tcW w:type="dxa" w:w="192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Simulator</w:t>
            </w:r>
          </w:p>
        </w:tc>
        <w:tc>
          <w:tcPr>
            <w:tcW w:type="dxa" w:w="192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IonQ Forte</w:t>
            </w:r>
          </w:p>
        </w:tc>
        <w:tc>
          <w:tcPr>
            <w:tcW w:type="dxa" w:w="192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IQM Garnet</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99%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97%</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99%</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w:t>
            </w:r>
          </w:p>
        </w:tc>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94%</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98%</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98%</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82%</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93%</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88%</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0.3</w:t>
            </w:r>
          </w:p>
        </w:tc>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77%</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89%</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78%</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71%</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74%</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73%</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0.5</w:t>
            </w:r>
          </w:p>
        </w:tc>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55%</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50%</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01 — 54%</w:t>
            </w:r>
          </w:p>
        </w:tc>
      </w:tr>
      <w:tr>
        <w:tc>
          <w:tcPr>
            <w:tcW w:type="dxa" w:w="90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bCs/>
                <w:color w:val="1A1A1A"/>
                <w:sz w:val="18"/>
                <w:szCs w:val="18"/>
              </w:rPr>
              <w:t xml:space="preserve">0.6 *</w:t>
            </w:r>
          </w:p>
        </w:tc>
        <w:tc>
          <w:tcPr>
            <w:tcW w:type="dxa" w:w="90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bCs/>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bCs/>
                <w:color w:val="1A1A1A"/>
                <w:sz w:val="18"/>
                <w:szCs w:val="18"/>
              </w:rPr>
              <w:t xml:space="preserve">10 — 64%</w:t>
            </w:r>
          </w:p>
        </w:tc>
        <w:tc>
          <w:tcPr>
            <w:tcW w:type="dxa" w:w="192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bCs/>
                <w:color w:val="1A1A1A"/>
                <w:sz w:val="18"/>
                <w:szCs w:val="18"/>
              </w:rPr>
              <w:t xml:space="preserve">10 — 57%</w:t>
            </w:r>
          </w:p>
        </w:tc>
        <w:tc>
          <w:tcPr>
            <w:tcW w:type="dxa" w:w="192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bCs/>
                <w:color w:val="1A1A1A"/>
                <w:sz w:val="18"/>
                <w:szCs w:val="18"/>
              </w:rPr>
              <w:t xml:space="preserve">10 — 66%</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0.7</w:t>
            </w:r>
          </w:p>
        </w:tc>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85%</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76%</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69%</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90%</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85%</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86%</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97%</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93%</w:t>
            </w:r>
          </w:p>
        </w:tc>
        <w:tc>
          <w:tcPr>
            <w:tcW w:type="dxa" w:w="192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89%</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97%</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97%</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 — 93%</w:t>
            </w:r>
          </w:p>
        </w:tc>
      </w:tr>
    </w:tbl>
    <w:p>
      <w:r>
        <w:t xml:space="preserve"/>
      </w:r>
    </w:p>
    <w:p>
      <w:pPr>
        <w:spacing w:after="120" w:before="80"/>
        <w:jc w:val="left"/>
      </w:pPr>
      <w:r>
        <w:rPr>
          <w:rFonts w:ascii="Arial" w:cs="Arial" w:eastAsia="Arial" w:hAnsi="Arial"/>
          <w:b w:val="false"/>
          <w:bCs w:val="false"/>
          <w:color w:val="444444"/>
          <w:sz w:val="20"/>
          <w:szCs w:val="20"/>
        </w:rPr>
        <w:t xml:space="preserve">All three measurement systems produced identical routing decisions at every revenue value. The crossover from Active Sales dominance to Deep Technical dominance occurs at revenue = 0.6 in the broad sweep.</w:t>
      </w:r>
    </w:p>
    <w:p>
      <w:r>
        <w:t xml:space="preserve"/>
      </w:r>
    </w:p>
    <w:p>
      <w:pPr>
        <w:pStyle w:val="Heading1"/>
        <w:spacing w:after="120" w:before="240"/>
      </w:pPr>
      <w:r>
        <w:rPr>
          <w:rFonts w:ascii="Arial" w:cs="Arial" w:eastAsia="Arial" w:hAnsi="Arial"/>
          <w:b/>
          <w:bCs/>
          <w:color w:val="00C8C8"/>
          <w:sz w:val="32"/>
          <w:szCs w:val="32"/>
        </w:rPr>
        <w:t xml:space="preserve">4. Results: Fine-Grained Crossover Analysis</w:t>
      </w:r>
    </w:p>
    <w:p>
      <w:pPr>
        <w:spacing w:after="120" w:before="80"/>
        <w:jc w:val="left"/>
      </w:pPr>
      <w:r>
        <w:rPr>
          <w:rFonts w:ascii="Arial" w:cs="Arial" w:eastAsia="Arial" w:hAnsi="Arial"/>
          <w:b w:val="false"/>
          <w:bCs w:val="false"/>
          <w:color w:val="1A1A1A"/>
          <w:sz w:val="20"/>
          <w:szCs w:val="20"/>
        </w:rPr>
        <w:t xml:space="preserve">Following three-way validation, a precision sweep was conducted from revenue 0.45 to 0.65 at 0.02 increments with 1000 shots to locate the exact transition point.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360"/>
        <w:gridCol w:w="1500"/>
        <w:gridCol w:w="3600"/>
      </w:tblGrid>
      <w:tr>
        <w:tc>
          <w:tcPr>
            <w:tcW w:type="dxa" w:w="90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Revenue</w:t>
            </w:r>
          </w:p>
        </w:tc>
        <w:tc>
          <w:tcPr>
            <w:tcW w:type="dxa" w:w="336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left"/>
            </w:pPr>
            <w:r>
              <w:rPr>
                <w:rFonts w:ascii="Arial" w:cs="Arial" w:eastAsia="Arial" w:hAnsi="Arial"/>
                <w:b/>
                <w:bCs/>
                <w:color w:val="FFFFFF"/>
                <w:sz w:val="18"/>
                <w:szCs w:val="18"/>
              </w:rPr>
              <w:t xml:space="preserve">Dominant Frame</w:t>
            </w:r>
          </w:p>
        </w:tc>
        <w:tc>
          <w:tcPr>
            <w:tcW w:type="dxa" w:w="150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Confidence</w:t>
            </w:r>
          </w:p>
        </w:tc>
        <w:tc>
          <w:tcPr>
            <w:tcW w:type="dxa" w:w="3600"/>
            <w:tcBorders>
              <w:top w:val="single" w:color="CCCCCC" w:sz="1"/>
              <w:left w:val="single" w:color="CCCCCC" w:sz="1"/>
              <w:bottom w:val="single" w:color="CCCCCC" w:sz="1"/>
              <w:right w:val="single" w:color="CCCCCC" w:sz="1"/>
            </w:tcBorders>
            <w:shd w:fill="00C8C8"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Gap to 2nd</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0.45</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01 — Active Sales Mode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57.1%</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17.2%</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0.47</w:t>
            </w:r>
          </w:p>
        </w:tc>
        <w:tc>
          <w:tcPr>
            <w:tcW w:type="dxa" w:w="336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51.0%</w:t>
            </w:r>
          </w:p>
        </w:tc>
        <w:tc>
          <w:tcPr>
            <w:tcW w:type="dxa" w:w="36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 4.2%</w:t>
            </w:r>
          </w:p>
        </w:tc>
      </w:tr>
      <w:tr>
        <w:tc>
          <w:tcPr>
            <w:tcW w:type="dxa" w:w="90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0.49</w:t>
            </w:r>
          </w:p>
        </w:tc>
        <w:tc>
          <w:tcPr>
            <w:tcW w:type="dxa" w:w="336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01 — Active Sales Mode</w:t>
            </w:r>
          </w:p>
        </w:tc>
        <w:tc>
          <w:tcPr>
            <w:tcW w:type="dxa" w:w="150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49.2%</w:t>
            </w:r>
          </w:p>
        </w:tc>
        <w:tc>
          <w:tcPr>
            <w:tcW w:type="dxa" w:w="3600"/>
            <w:tcBorders>
              <w:top w:val="single" w:color="CCCCCC" w:sz="1"/>
              <w:left w:val="single" w:color="CCCCCC" w:sz="1"/>
              <w:bottom w:val="single" w:color="CCCCCC" w:sz="1"/>
              <w:right w:val="single" w:color="CCCCCC" w:sz="1"/>
            </w:tcBorders>
            <w:shd w:fill="D5F0F0" w:val="clear"/>
            <w:tcMar>
              <w:top w:type="dxa" w:w="80"/>
              <w:left w:type="dxa" w:w="120"/>
              <w:bottom w:type="dxa" w:w="80"/>
              <w:right w:type="dxa" w:w="120"/>
            </w:tcMar>
            <w:vAlign w:val="center"/>
          </w:tcPr>
          <w:p>
            <w:pPr>
              <w:jc w:val="center"/>
            </w:pPr>
            <w:r>
              <w:rPr>
                <w:rFonts w:ascii="Arial" w:cs="Arial" w:eastAsia="Arial" w:hAnsi="Arial"/>
                <w:b/>
                <w:bCs/>
                <w:color w:val="1A1A1A"/>
                <w:sz w:val="18"/>
                <w:szCs w:val="18"/>
              </w:rPr>
              <w:t xml:space="preserve"> 0.6%  ← max uncertainty</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0.51</w:t>
            </w:r>
          </w:p>
        </w:tc>
        <w:tc>
          <w:tcPr>
            <w:tcW w:type="dxa" w:w="336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49.4%</w:t>
            </w:r>
          </w:p>
        </w:tc>
        <w:tc>
          <w:tcPr>
            <w:tcW w:type="dxa" w:w="36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 1.6%</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0.53</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54.0%</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10.8%</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0.55</w:t>
            </w:r>
          </w:p>
        </w:tc>
        <w:tc>
          <w:tcPr>
            <w:tcW w:type="dxa" w:w="336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54.5%</w:t>
            </w:r>
          </w:p>
        </w:tc>
        <w:tc>
          <w:tcPr>
            <w:tcW w:type="dxa" w:w="36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11.7%</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0.57</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58.8%</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20.4%</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0.59</w:t>
            </w:r>
          </w:p>
        </w:tc>
        <w:tc>
          <w:tcPr>
            <w:tcW w:type="dxa" w:w="336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66.6%</w:t>
            </w:r>
          </w:p>
        </w:tc>
        <w:tc>
          <w:tcPr>
            <w:tcW w:type="dxa" w:w="36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36.5%</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0.61</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63.6%</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31.6%</w:t>
            </w:r>
          </w:p>
        </w:tc>
      </w:tr>
      <w:tr>
        <w:tc>
          <w:tcPr>
            <w:tcW w:type="dxa" w:w="9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0.63</w:t>
            </w:r>
          </w:p>
        </w:tc>
        <w:tc>
          <w:tcPr>
            <w:tcW w:type="dxa" w:w="336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69.4%</w:t>
            </w:r>
          </w:p>
        </w:tc>
        <w:tc>
          <w:tcPr>
            <w:tcW w:type="dxa" w:w="3600"/>
            <w:tcBorders>
              <w:top w:val="single" w:color="CCCCCC" w:sz="1"/>
              <w:left w:val="single" w:color="CCCCCC" w:sz="1"/>
              <w:bottom w:val="single" w:color="CCCCCC" w:sz="1"/>
              <w:right w:val="single" w:color="CCCCCC" w:sz="1"/>
            </w:tcBorders>
            <w:shd w:fill="F2FAFA"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40.9%</w:t>
            </w:r>
          </w:p>
        </w:tc>
      </w:tr>
      <w:tr>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0.65</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1A1A"/>
                <w:sz w:val="18"/>
                <w:szCs w:val="18"/>
              </w:rPr>
              <w:t xml:space="preserve">10 — Deep Technical Build</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72.8%</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Arial" w:cs="Arial" w:eastAsia="Arial" w:hAnsi="Arial"/>
                <w:b w:val="false"/>
                <w:bCs w:val="false"/>
                <w:color w:val="1A1A1A"/>
                <w:sz w:val="18"/>
                <w:szCs w:val="18"/>
              </w:rPr>
              <w:t xml:space="preserve">47.5%</w:t>
            </w:r>
          </w:p>
        </w:tc>
      </w:tr>
    </w:tbl>
    <w:p>
      <w:r>
        <w:t xml:space="preserve"/>
      </w:r>
    </w:p>
    <w:p>
      <w:pPr>
        <w:spacing w:after="120" w:before="80"/>
        <w:jc w:val="left"/>
      </w:pPr>
      <w:r>
        <w:rPr>
          <w:rFonts w:ascii="Arial" w:cs="Arial" w:eastAsia="Arial" w:hAnsi="Arial"/>
          <w:b w:val="false"/>
          <w:bCs w:val="false"/>
          <w:color w:val="1A1A1A"/>
          <w:sz w:val="20"/>
          <w:szCs w:val="20"/>
        </w:rPr>
        <w:t xml:space="preserve">Linear interpolation between R=0.49 and R=0.51 yields an estimated exact crossover of R ≈ 0.4955, where Active Sales probability equals Deep Technical probability.</w:t>
      </w:r>
    </w:p>
    <w:p>
      <w:r>
        <w:t xml:space="preserve"/>
      </w:r>
    </w:p>
    <w:p>
      <w:pPr>
        <w:pStyle w:val="Heading1"/>
        <w:spacing w:after="120" w:before="240"/>
      </w:pPr>
      <w:r>
        <w:rPr>
          <w:rFonts w:ascii="Arial" w:cs="Arial" w:eastAsia="Arial" w:hAnsi="Arial"/>
          <w:b/>
          <w:bCs/>
          <w:color w:val="00C8C8"/>
          <w:sz w:val="32"/>
          <w:szCs w:val="32"/>
        </w:rPr>
        <w:t xml:space="preserve">5. Key Findings</w:t>
      </w:r>
    </w:p>
    <w:p>
      <w:pPr>
        <w:pStyle w:val="ListParagraph"/>
        <w:numPr>
          <w:ilvl w:val="0"/>
          <w:numId w:val="3"/>
        </w:numPr>
        <w:spacing w:after="60" w:before="60"/>
      </w:pPr>
      <w:r>
        <w:rPr>
          <w:rFonts w:ascii="Arial" w:cs="Arial" w:eastAsia="Arial" w:hAnsi="Arial"/>
          <w:color w:val="1A1A1A"/>
          <w:sz w:val="20"/>
          <w:szCs w:val="20"/>
        </w:rPr>
        <w:t xml:space="preserve">Crossover confirmed at R ≈ 0.4955 across three independent measurement systems. The transition corresponds to RY(π/2), the maximum superposition rotation for the revenue qubit, occurring at exactly the mathematical midpoint of the input space.</w:t>
      </w:r>
    </w:p>
    <w:p>
      <w:r>
        <w:t xml:space="preserve"/>
      </w:r>
    </w:p>
    <w:p>
      <w:pPr>
        <w:pStyle w:val="ListParagraph"/>
        <w:numPr>
          <w:ilvl w:val="0"/>
          <w:numId w:val="3"/>
        </w:numPr>
        <w:spacing w:after="60" w:before="60"/>
      </w:pPr>
      <w:r>
        <w:rPr>
          <w:rFonts w:ascii="Arial" w:cs="Arial" w:eastAsia="Arial" w:hAnsi="Arial"/>
          <w:color w:val="1A1A1A"/>
          <w:sz w:val="20"/>
          <w:szCs w:val="20"/>
        </w:rPr>
        <w:t xml:space="preserve">The anomaly spans half the input space. Active Sales Mode dominates at all revenue values below the crossover threshold regardless of technical signal strength. This is not a narrow edge case.</w:t>
      </w:r>
    </w:p>
    <w:p>
      <w:r>
        <w:t xml:space="preserve"/>
      </w:r>
    </w:p>
    <w:p>
      <w:pPr>
        <w:pStyle w:val="ListParagraph"/>
        <w:numPr>
          <w:ilvl w:val="0"/>
          <w:numId w:val="3"/>
        </w:numPr>
        <w:spacing w:after="60" w:before="60"/>
      </w:pPr>
      <w:r>
        <w:rPr>
          <w:rFonts w:ascii="Arial" w:cs="Arial" w:eastAsia="Arial" w:hAnsi="Arial"/>
          <w:color w:val="1A1A1A"/>
          <w:sz w:val="20"/>
          <w:szCs w:val="20"/>
        </w:rPr>
        <w:t xml:space="preserve">The transition is continuous, not binary. Confidence in Active Sales routing decreases monotonically from 99% at R=0.0 to 50% at R=0.5, then increases for Deep Technical from 50% at R=0.6 to 97% at R=1.0.</w:t>
      </w:r>
    </w:p>
    <w:p>
      <w:r>
        <w:t xml:space="preserve"/>
      </w:r>
    </w:p>
    <w:p>
      <w:pPr>
        <w:pStyle w:val="ListParagraph"/>
        <w:numPr>
          <w:ilvl w:val="0"/>
          <w:numId w:val="3"/>
        </w:numPr>
        <w:spacing w:after="60" w:before="60"/>
      </w:pPr>
      <w:r>
        <w:rPr>
          <w:rFonts w:ascii="Arial" w:cs="Arial" w:eastAsia="Arial" w:hAnsi="Arial"/>
          <w:color w:val="1A1A1A"/>
          <w:sz w:val="20"/>
          <w:szCs w:val="20"/>
        </w:rPr>
        <w:t xml:space="preserve">A contested zone exists from approximately R=0.45 to R=0.53. Within this band, the gap between dominant and secondary states falls below 15%, indicating genuine quantum uncertainty rather than deterministic routing.</w:t>
      </w:r>
    </w:p>
    <w:p>
      <w:r>
        <w:t xml:space="preserve"/>
      </w:r>
    </w:p>
    <w:p>
      <w:pPr>
        <w:pStyle w:val="ListParagraph"/>
        <w:numPr>
          <w:ilvl w:val="0"/>
          <w:numId w:val="3"/>
        </w:numPr>
        <w:spacing w:after="60" w:before="60"/>
      </w:pPr>
      <w:r>
        <w:rPr>
          <w:rFonts w:ascii="Arial" w:cs="Arial" w:eastAsia="Arial" w:hAnsi="Arial"/>
          <w:color w:val="1A1A1A"/>
          <w:sz w:val="20"/>
          <w:szCs w:val="20"/>
        </w:rPr>
        <w:t xml:space="preserve">Hardware architectures produce anomaly confidence exceeding simulator predictions at low revenue. At R=0.1: simulator 94%, IonQ 98%, IQM 98%. Both hardware types independently found the anomaly stronger than classical simulation predicted.</w:t>
      </w:r>
    </w:p>
    <w:p>
      <w:r>
        <w:t xml:space="preserve"/>
      </w:r>
    </w:p>
    <w:p>
      <w:pPr>
        <w:pStyle w:val="ListParagraph"/>
        <w:numPr>
          <w:ilvl w:val="0"/>
          <w:numId w:val="3"/>
        </w:numPr>
        <w:spacing w:after="60" w:before="60"/>
      </w:pPr>
      <w:r>
        <w:rPr>
          <w:rFonts w:ascii="Arial" w:cs="Arial" w:eastAsia="Arial" w:hAnsi="Arial"/>
          <w:color w:val="1A1A1A"/>
          <w:sz w:val="20"/>
          <w:szCs w:val="20"/>
        </w:rPr>
        <w:t xml:space="preserve">IQM Garnet exhibits elevated Strategic/Big Picture (11) state leakage at high revenue values (4-5%), compared to 1-3% on IonQ Forte. This is a measurable hardware signature specific to superconducting architecture and does not affect routing decisions.</w:t>
      </w:r>
    </w:p>
    <w:p>
      <w:r>
        <w:t xml:space="preserve"/>
      </w:r>
    </w:p>
    <w:p>
      <w:pPr>
        <w:pStyle w:val="Heading1"/>
        <w:spacing w:after="120" w:before="240"/>
      </w:pPr>
      <w:r>
        <w:rPr>
          <w:rFonts w:ascii="Arial" w:cs="Arial" w:eastAsia="Arial" w:hAnsi="Arial"/>
          <w:b/>
          <w:bCs/>
          <w:color w:val="00C8C8"/>
          <w:sz w:val="32"/>
          <w:szCs w:val="32"/>
        </w:rPr>
        <w:t xml:space="preserve">6. Mathematical Interpretation</w:t>
      </w:r>
    </w:p>
    <w:p>
      <w:pPr>
        <w:spacing w:after="120" w:before="80"/>
        <w:jc w:val="left"/>
      </w:pPr>
      <w:r>
        <w:rPr>
          <w:rFonts w:ascii="Arial" w:cs="Arial" w:eastAsia="Arial" w:hAnsi="Arial"/>
          <w:b w:val="false"/>
          <w:bCs w:val="false"/>
          <w:color w:val="1A1A1A"/>
          <w:sz w:val="20"/>
          <w:szCs w:val="20"/>
        </w:rPr>
        <w:t xml:space="preserve">The crossover at R ≈ 0.4955 is consistent with the theoretical behavior of the RY gate. At revenue = 0.5, the gate applies a rotation of 0.5×π = π/2, placing qubit 0 in the maximally superposed state |+⟩ = (|0⟩ + |1⟩)/√2. This is the point of equal probability for both computational basis states, corresponding to maximum uncertainty in the routing decision.</w:t>
      </w:r>
    </w:p>
    <w:p>
      <w:r>
        <w:t xml:space="preserve"/>
      </w:r>
    </w:p>
    <w:p>
      <w:pPr>
        <w:spacing w:after="120" w:before="80"/>
        <w:jc w:val="left"/>
      </w:pPr>
      <w:r>
        <w:rPr>
          <w:rFonts w:ascii="Arial" w:cs="Arial" w:eastAsia="Arial" w:hAnsi="Arial"/>
          <w:b w:val="false"/>
          <w:bCs w:val="false"/>
          <w:color w:val="1A1A1A"/>
          <w:sz w:val="20"/>
          <w:szCs w:val="20"/>
        </w:rPr>
        <w:t xml:space="preserve">The slight deviation from exactly 0.5 to 0.4955 is attributable to CNOT entanglement. The controlled-NOT gate couples the revenue qubit to the technical qubit, shifting the effective transition point marginally below the theoretical maximum superposition input. This shift is a measurable entanglement signature — its magnitude provides a quantitative indicator of the coupling strength between the two variables.</w:t>
      </w:r>
    </w:p>
    <w:p>
      <w:r>
        <w:t xml:space="preserve"/>
      </w:r>
    </w:p>
    <w:p>
      <w:pPr>
        <w:spacing w:after="120" w:before="80"/>
        <w:jc w:val="left"/>
      </w:pPr>
      <w:r>
        <w:rPr>
          <w:rFonts w:ascii="Arial" w:cs="Arial" w:eastAsia="Arial" w:hAnsi="Arial"/>
          <w:b w:val="false"/>
          <w:bCs w:val="false"/>
          <w:color w:val="1A1A1A"/>
          <w:sz w:val="20"/>
          <w:szCs w:val="20"/>
        </w:rPr>
        <w:t xml:space="preserve">The gradient structure of the transition — rather than a sharp cutoff — reflects the probabilistic nature of quantum measurement. The circuit does not route deterministically; it assigns probabilities to each frame that vary continuously with input. This continuous behavior is structurally impossible to replicate with classical binary threshold logic.</w:t>
      </w:r>
    </w:p>
    <w:p>
      <w:r>
        <w:t xml:space="preserve"/>
      </w:r>
    </w:p>
    <w:p>
      <w:pPr>
        <w:pStyle w:val="Heading1"/>
        <w:spacing w:after="120" w:before="240"/>
      </w:pPr>
      <w:r>
        <w:rPr>
          <w:rFonts w:ascii="Arial" w:cs="Arial" w:eastAsia="Arial" w:hAnsi="Arial"/>
          <w:b/>
          <w:bCs/>
          <w:color w:val="00C8C8"/>
          <w:sz w:val="32"/>
          <w:szCs w:val="32"/>
        </w:rPr>
        <w:t xml:space="preserve">7. Implications for the Unified Framework</w:t>
      </w:r>
    </w:p>
    <w:p>
      <w:pPr>
        <w:spacing w:after="120" w:before="80"/>
        <w:jc w:val="left"/>
      </w:pPr>
      <w:r>
        <w:rPr>
          <w:rFonts w:ascii="Arial" w:cs="Arial" w:eastAsia="Arial" w:hAnsi="Arial"/>
          <w:b w:val="false"/>
          <w:bCs w:val="false"/>
          <w:color w:val="1A1A1A"/>
          <w:sz w:val="20"/>
          <w:szCs w:val="20"/>
        </w:rPr>
        <w:t xml:space="preserve">These results strengthen the QCSL component of the unified framework in three respects.</w:t>
      </w:r>
    </w:p>
    <w:p>
      <w:r>
        <w:t xml:space="preserve"/>
      </w:r>
    </w:p>
    <w:p>
      <w:pPr>
        <w:spacing w:after="120" w:before="80"/>
        <w:jc w:val="left"/>
      </w:pPr>
      <w:r>
        <w:rPr>
          <w:rFonts w:ascii="Arial" w:cs="Arial" w:eastAsia="Arial" w:hAnsi="Arial"/>
          <w:b w:val="false"/>
          <w:bCs w:val="false"/>
          <w:color w:val="1A1A1A"/>
          <w:sz w:val="20"/>
          <w:szCs w:val="20"/>
        </w:rPr>
        <w:t xml:space="preserve">First, the architecture-independence of the crossover point confirms that the routing behavior is a property of the circuit structure, not of any specific hardware implementation. The same transition occurs on trapped-ion and superconducting quantum computers with independent noise profiles.</w:t>
      </w:r>
    </w:p>
    <w:p>
      <w:r>
        <w:t xml:space="preserve"/>
      </w:r>
    </w:p>
    <w:p>
      <w:pPr>
        <w:spacing w:after="120" w:before="80"/>
        <w:jc w:val="left"/>
      </w:pPr>
      <w:r>
        <w:rPr>
          <w:rFonts w:ascii="Arial" w:cs="Arial" w:eastAsia="Arial" w:hAnsi="Arial"/>
          <w:b w:val="false"/>
          <w:bCs w:val="false"/>
          <w:color w:val="1A1A1A"/>
          <w:sz w:val="20"/>
          <w:szCs w:val="20"/>
        </w:rPr>
        <w:t xml:space="preserve">Second, the finding that hardware produces stronger anomaly confidence than simulation at low revenue values suggests the entanglement effect is more pronounced in physical quantum systems than classical approximations predict. This supports the claim that CNOT entanglement reads variable relationships in a fundamentally non-classical way.</w:t>
      </w:r>
    </w:p>
    <w:p>
      <w:r>
        <w:t xml:space="preserve"/>
      </w:r>
    </w:p>
    <w:p>
      <w:pPr>
        <w:spacing w:after="120" w:before="80"/>
        <w:jc w:val="left"/>
      </w:pPr>
      <w:r>
        <w:rPr>
          <w:rFonts w:ascii="Arial" w:cs="Arial" w:eastAsia="Arial" w:hAnsi="Arial"/>
          <w:b w:val="false"/>
          <w:bCs w:val="false"/>
          <w:color w:val="1A1A1A"/>
          <w:sz w:val="20"/>
          <w:szCs w:val="20"/>
        </w:rPr>
        <w:t xml:space="preserve">Third, the precise crossover at the RY(π/2) maximum superposition point provides a mathematical anchor for the framework. The system routes to Active Sales Mode when revenue signal falls below quantum equilibrium — the point at which the revenue qubit has no dominant state. This is a principled, theoretically grounded threshold rather than an empirically tuned parameter.</w:t>
      </w:r>
    </w:p>
    <w:p>
      <w:r>
        <w:t xml:space="preserve"/>
      </w:r>
    </w:p>
    <w:p>
      <w:pPr>
        <w:pBdr>
          <w:bottom w:val="single" w:color="00C8C8" w:sz="4" w:space="1"/>
        </w:pBdr>
        <w:spacing w:after="160" w:before="160"/>
      </w:pPr>
    </w:p>
    <w:p>
      <w:pPr>
        <w:spacing w:after="120" w:before="80"/>
        <w:jc w:val="left"/>
      </w:pPr>
      <w:r>
        <w:rPr>
          <w:rFonts w:ascii="Arial" w:cs="Arial" w:eastAsia="Arial" w:hAnsi="Arial"/>
          <w:b w:val="false"/>
          <w:bCs w:val="false"/>
          <w:color w:val="888888"/>
          <w:sz w:val="16"/>
          <w:szCs w:val="16"/>
        </w:rPr>
        <w:t xml:space="preserve">Experiment data and task IDs available upon request. All results saved to JSON with full probability distributions.</w:t>
      </w:r>
    </w:p>
    <w:p>
      <w:pPr>
        <w:spacing w:after="120" w:before="80"/>
        <w:jc w:val="left"/>
      </w:pPr>
      <w:r>
        <w:rPr>
          <w:rFonts w:ascii="Arial" w:cs="Arial" w:eastAsia="Arial" w:hAnsi="Arial"/>
          <w:b w:val="false"/>
          <w:bCs w:val="false"/>
          <w:color w:val="888888"/>
          <w:sz w:val="16"/>
          <w:szCs w:val="16"/>
        </w:rPr>
        <w:t xml:space="preserve">github.com/michaelfullmer/ChronoAI-Evidence-Audit  |  github.com/michaelfullmer/ChronoAI-Relay-Experiment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0C8C8"/>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2026-06-09T11:17:10.711Z</dcterms:created>
  <dcterms:modified xsi:type="dcterms:W3CDTF">2026-06-09T11:17:10.711Z</dcterms:modified>
</cp:coreProperties>
</file>

<file path=docProps/custom.xml><?xml version="1.0" encoding="utf-8"?>
<Properties xmlns="http://schemas.openxmlformats.org/officeDocument/2006/custom-properties" xmlns:vt="http://schemas.openxmlformats.org/officeDocument/2006/docPropsVTypes"/>
</file>