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0"/>
      </w:pPr>
      <w:r>
        <w:t xml:space="preserve"/>
      </w:r>
    </w:p>
    <w:p>
      <w:pPr>
        <w:spacing w:after="80" w:before="0"/>
        <w:jc w:val="center"/>
      </w:pPr>
      <w:r>
        <w:rPr>
          <w:rFonts w:ascii="Arial" w:cs="Arial" w:eastAsia="Arial" w:hAnsi="Arial"/>
          <w:b/>
          <w:bCs/>
          <w:color w:val="00C8C8"/>
          <w:sz w:val="20"/>
          <w:szCs w:val="20"/>
        </w:rPr>
        <w:t xml:space="preserve">CHRONOAI SOLUTIONS</w:t>
      </w:r>
    </w:p>
    <w:p>
      <w:pPr>
        <w:spacing w:after="40" w:before="0"/>
        <w:jc w:val="center"/>
      </w:pPr>
      <w:r>
        <w:rPr>
          <w:rFonts w:ascii="Arial" w:cs="Arial" w:eastAsia="Arial" w:hAnsi="Arial"/>
          <w:color w:val="4A6670"/>
          <w:sz w:val="20"/>
          <w:szCs w:val="20"/>
        </w:rPr>
        <w:t xml:space="preserve">RESEARCH REPORT</w:t>
      </w:r>
    </w:p>
    <w:p>
      <w:pPr>
        <w:spacing w:after="0" w:before="200"/>
      </w:pPr>
      <w:r>
        <w:t xml:space="preserve"/>
      </w:r>
    </w:p>
    <w:p>
      <w:pPr>
        <w:spacing w:after="120" w:before="0"/>
        <w:jc w:val="center"/>
      </w:pPr>
      <w:r>
        <w:rPr>
          <w:rFonts w:ascii="Arial" w:cs="Arial" w:eastAsia="Arial" w:hAnsi="Arial"/>
          <w:b/>
          <w:bCs/>
          <w:color w:val="000000"/>
          <w:sz w:val="52"/>
          <w:szCs w:val="52"/>
        </w:rPr>
        <w:t xml:space="preserve">Context as a Safety Mechanism:</w:t>
      </w:r>
    </w:p>
    <w:p>
      <w:pPr>
        <w:spacing w:after="120" w:before="0"/>
        <w:jc w:val="center"/>
      </w:pPr>
      <w:r>
        <w:rPr>
          <w:rFonts w:ascii="Arial" w:cs="Arial" w:eastAsia="Arial" w:hAnsi="Arial"/>
          <w:b/>
          <w:bCs/>
          <w:color w:val="00C8C8"/>
          <w:sz w:val="52"/>
          <w:szCs w:val="52"/>
        </w:rPr>
        <w:t xml:space="preserve">A Unified Framework</w:t>
      </w:r>
    </w:p>
    <w:p>
      <w:pPr>
        <w:spacing w:after="0" w:before="120"/>
      </w:pPr>
      <w:r>
        <w:t xml:space="preserve"/>
      </w:r>
    </w:p>
    <w:p>
      <w:pPr>
        <w:spacing w:after="80" w:before="0"/>
        <w:jc w:val="center"/>
      </w:pPr>
      <w:r>
        <w:rPr>
          <w:rFonts w:ascii="Arial" w:cs="Arial" w:eastAsia="Arial" w:hAnsi="Arial"/>
          <w:i/>
          <w:iCs/>
          <w:color w:val="4A6670"/>
          <w:sz w:val="22"/>
          <w:szCs w:val="22"/>
        </w:rPr>
        <w:t xml:space="preserve">Quantum Context Routing · Relay Drift Experiments · Evidence Audit System</w:t>
      </w:r>
    </w:p>
    <w:p>
      <w:pPr>
        <w:spacing w:after="0" w:before="400"/>
      </w:pPr>
      <w:r>
        <w:t xml:space="preserve"/>
      </w:r>
    </w:p>
    <w:p>
      <w:pPr>
        <w:spacing w:after="40" w:before="0"/>
        <w:jc w:val="center"/>
      </w:pPr>
      <w:r>
        <w:rPr>
          <w:rFonts w:ascii="Arial" w:cs="Arial" w:eastAsia="Arial" w:hAnsi="Arial"/>
          <w:b/>
          <w:bCs/>
          <w:color w:val="000000"/>
          <w:sz w:val="24"/>
          <w:szCs w:val="24"/>
        </w:rPr>
        <w:t xml:space="preserve">Michael Fullmer</w:t>
      </w:r>
    </w:p>
    <w:p>
      <w:pPr>
        <w:spacing w:after="40" w:before="0"/>
        <w:jc w:val="center"/>
      </w:pPr>
      <w:r>
        <w:rPr>
          <w:rFonts w:ascii="Arial" w:cs="Arial" w:eastAsia="Arial" w:hAnsi="Arial"/>
          <w:color w:val="4A6670"/>
          <w:sz w:val="22"/>
          <w:szCs w:val="22"/>
        </w:rPr>
        <w:t xml:space="preserve">Founder &amp; CEO, ChronoAI Solutions</w:t>
      </w:r>
    </w:p>
    <w:p>
      <w:pPr>
        <w:spacing w:after="40" w:before="0"/>
        <w:jc w:val="center"/>
      </w:pPr>
      <w:r>
        <w:rPr>
          <w:rFonts w:ascii="Arial" w:cs="Arial" w:eastAsia="Arial" w:hAnsi="Arial"/>
          <w:color w:val="00C8C8"/>
          <w:sz w:val="22"/>
          <w:szCs w:val="22"/>
        </w:rPr>
        <w:t xml:space="preserve">michael.fullmer@chronoaisolutions.com</w:t>
      </w:r>
    </w:p>
    <w:p>
      <w:pPr>
        <w:spacing w:after="40" w:before="0"/>
        <w:jc w:val="center"/>
      </w:pPr>
      <w:r>
        <w:rPr>
          <w:rFonts w:ascii="Arial" w:cs="Arial" w:eastAsia="Arial" w:hAnsi="Arial"/>
          <w:color w:val="4A6670"/>
          <w:sz w:val="22"/>
          <w:szCs w:val="22"/>
        </w:rPr>
        <w:t xml:space="preserve">May 18, 2026</w:t>
      </w:r>
    </w:p>
    <w:p>
      <w:r>
        <w:br w:type="page"/>
      </w:r>
    </w:p>
    <w:p>
      <w:pPr>
        <w:pStyle w:val="Heading1"/>
        <w:spacing w:after="200" w:before="400"/>
      </w:pPr>
      <w:r>
        <w:rPr>
          <w:rFonts w:ascii="Arial" w:cs="Arial" w:eastAsia="Arial" w:hAnsi="Arial"/>
          <w:b/>
          <w:bCs/>
          <w:color w:val="000000"/>
          <w:sz w:val="36"/>
          <w:szCs w:val="36"/>
        </w:rPr>
        <w:t xml:space="preserve">Executive Summary</w:t>
      </w:r>
    </w:p>
    <w:p>
      <w:pPr>
        <w:spacing w:after="120" w:before="80"/>
      </w:pPr>
      <w:r>
        <w:rPr>
          <w:rFonts w:ascii="Arial" w:cs="Arial" w:eastAsia="Arial" w:hAnsi="Arial"/>
          <w:color w:val="000000"/>
          <w:sz w:val="22"/>
          <w:szCs w:val="22"/>
        </w:rPr>
        <w:t xml:space="preserve">This report presents a unified framework connecting three independent bodies of experimental work conducted at ChronoAI Solutions between March and May 2026. Each body of work identified a distinct vulnerability in AI system reliability and produced a working countermeasure. Together, the three layers form a coherent, production-deployed safety architecture.</w:t>
      </w:r>
    </w:p>
    <w:p>
      <w:pPr>
        <w:spacing w:after="0" w:before="120"/>
      </w:pPr>
      <w:r>
        <w:t xml:space="preserve"/>
      </w:r>
    </w:p>
    <w:p>
      <w:pPr>
        <w:spacing w:after="40" w:before="120"/>
      </w:pPr>
      <w:r>
        <w:rPr>
          <w:rFonts w:ascii="Arial" w:cs="Arial" w:eastAsia="Arial" w:hAnsi="Arial"/>
          <w:b/>
          <w:bCs/>
          <w:color w:val="00C8C8"/>
          <w:sz w:val="18"/>
          <w:szCs w:val="18"/>
        </w:rPr>
        <w:t xml:space="preserve">THE CORE ARGUMENT</w:t>
      </w:r>
    </w:p>
    <w:p>
      <w:pPr>
        <w:spacing w:after="120" w:before="80"/>
      </w:pPr>
      <w:r>
        <w:rPr>
          <w:rFonts w:ascii="Arial" w:cs="Arial" w:eastAsia="Arial" w:hAnsi="Arial"/>
          <w:color w:val="000000"/>
          <w:sz w:val="22"/>
          <w:szCs w:val="22"/>
        </w:rPr>
        <w:t xml:space="preserve">Context is an underexplored safety mechanism. Not rules. Not guardrails. Relationship, accountability, and evidence — operating in real time, under every message. This framework documents what that looks like when built, tested, and deployed.</w:t>
      </w:r>
    </w:p>
    <w:p>
      <w:pPr>
        <w:spacing w:after="0" w:before="120"/>
      </w:pPr>
      <w:r>
        <w:t xml:space="preserve"/>
      </w:r>
    </w:p>
    <w:p>
      <w:pPr>
        <w:spacing w:after="40" w:before="120"/>
      </w:pPr>
      <w:r>
        <w:rPr>
          <w:rFonts w:ascii="Arial" w:cs="Arial" w:eastAsia="Arial" w:hAnsi="Arial"/>
          <w:b/>
          <w:bCs/>
          <w:color w:val="00C8C8"/>
          <w:sz w:val="18"/>
          <w:szCs w:val="18"/>
        </w:rPr>
        <w:t xml:space="preserve">THE THREE PILLARS</w:t>
      </w:r>
    </w:p>
    <w:p>
      <w:pPr>
        <w:pStyle w:val="ListParagraph"/>
        <w:numPr>
          <w:ilvl w:val="0"/>
          <w:numId w:val="2"/>
        </w:numPr>
        <w:spacing w:after="60" w:before="60"/>
      </w:pPr>
      <w:r>
        <w:rPr>
          <w:rFonts w:ascii="Arial" w:cs="Arial" w:eastAsia="Arial" w:hAnsi="Arial"/>
          <w:color w:val="000000"/>
          <w:sz w:val="22"/>
          <w:szCs w:val="22"/>
        </w:rPr>
        <w:t xml:space="preserve">Quantum Context Routing — Context injection changes AI behavior measurably and reproducibly across hardware backends. The quantum circuit detects structural relationships between input variables, not just individual values, and uses this to select operating modes before the model speaks.</w:t>
      </w:r>
    </w:p>
    <w:p>
      <w:pPr>
        <w:pStyle w:val="ListParagraph"/>
        <w:numPr>
          <w:ilvl w:val="0"/>
          <w:numId w:val="2"/>
        </w:numPr>
        <w:spacing w:after="60" w:before="60"/>
      </w:pPr>
      <w:r>
        <w:rPr>
          <w:rFonts w:ascii="Arial" w:cs="Arial" w:eastAsia="Arial" w:hAnsi="Arial"/>
          <w:color w:val="000000"/>
          <w:sz w:val="22"/>
          <w:szCs w:val="22"/>
        </w:rPr>
        <w:t xml:space="preserve">Claude vs Claude Relay Experiments — AI systems in multi-turn relay drift predictably through a compliment ratchet mechanism. Context-loaded instances are more vulnerable. The asymmetry finding revealed that technical claims get checked against prior math while plausible narrative claims are accepted without sourcing.</w:t>
      </w:r>
    </w:p>
    <w:p>
      <w:pPr>
        <w:pStyle w:val="ListParagraph"/>
        <w:numPr>
          <w:ilvl w:val="0"/>
          <w:numId w:val="2"/>
        </w:numPr>
        <w:spacing w:after="60" w:before="60"/>
      </w:pPr>
      <w:r>
        <w:rPr>
          <w:rFonts w:ascii="Arial" w:cs="Arial" w:eastAsia="Arial" w:hAnsi="Arial"/>
          <w:color w:val="000000"/>
          <w:sz w:val="22"/>
          <w:szCs w:val="22"/>
        </w:rPr>
        <w:t xml:space="preserve">Evidence Audit System — Built directly from the asymmetry finding, the audit tool fires after every response and classifies claims by type and risk. Tested against five engineered attack vectors including compound attacks mixing real data with fabricated metrics. All five caught.</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C8C8" w:sz="16"/>
              <w:bottom w:val="none" w:color="FFFFFF" w:sz="0"/>
              <w:right w:val="none" w:color="FFFFFF" w:sz="0"/>
            </w:tcBorders>
            <w:shd w:fill="F0FAFA" w:val="clear"/>
            <w:tcMar>
              <w:top w:type="dxa" w:w="120"/>
              <w:left w:type="dxa" w:w="240"/>
              <w:bottom w:type="dxa" w:w="120"/>
              <w:right w:type="dxa" w:w="240"/>
            </w:tcMar>
          </w:tcPr>
          <w:p>
            <w:pPr>
              <w:spacing w:after="60" w:before="0"/>
            </w:pPr>
            <w:r>
              <w:rPr>
                <w:rFonts w:ascii="Arial" w:cs="Arial" w:eastAsia="Arial" w:hAnsi="Arial"/>
                <w:b/>
                <w:bCs/>
                <w:color w:val="00C8C8"/>
                <w:sz w:val="18"/>
                <w:szCs w:val="18"/>
              </w:rPr>
              <w:t xml:space="preserve">KEY FINDING</w:t>
            </w:r>
          </w:p>
          <w:p>
            <w:pPr>
              <w:spacing w:after="0" w:before="0"/>
            </w:pPr>
            <w:r>
              <w:rPr>
                <w:rFonts w:ascii="Arial" w:cs="Arial" w:eastAsia="Arial" w:hAnsi="Arial"/>
                <w:color w:val="000000"/>
                <w:sz w:val="21"/>
                <w:szCs w:val="21"/>
              </w:rPr>
              <w:t xml:space="preserve">The tool does not verify truth — it verifies sourcing. Real findings without citations are flagged identically to fabricated ones, because from the reader's perspective they are identical. The standard is consistent regardless of accuracy.</w:t>
            </w:r>
          </w:p>
        </w:tc>
      </w:tr>
    </w:tbl>
    <w:p>
      <w:pPr>
        <w:spacing w:after="0" w:before="200"/>
      </w:pPr>
      <w:r>
        <w:t xml:space="preserve"/>
      </w:r>
    </w:p>
    <w:p>
      <w:r>
        <w:br w:type="page"/>
      </w:r>
    </w:p>
    <w:p>
      <w:pPr>
        <w:pStyle w:val="Heading1"/>
        <w:spacing w:after="200" w:before="400"/>
      </w:pPr>
      <w:r>
        <w:rPr>
          <w:rFonts w:ascii="Arial" w:cs="Arial" w:eastAsia="Arial" w:hAnsi="Arial"/>
          <w:b/>
          <w:bCs/>
          <w:color w:val="000000"/>
          <w:sz w:val="36"/>
          <w:szCs w:val="36"/>
        </w:rPr>
        <w:t xml:space="preserve">Pillar 1: Quantum Context Routing</w:t>
      </w:r>
    </w:p>
    <w:p>
      <w:pPr>
        <w:pStyle w:val="Heading2"/>
        <w:spacing w:after="160" w:before="320"/>
      </w:pPr>
      <w:r>
        <w:rPr>
          <w:rFonts w:ascii="Arial" w:cs="Arial" w:eastAsia="Arial" w:hAnsi="Arial"/>
          <w:b/>
          <w:bCs/>
          <w:color w:val="000000"/>
          <w:sz w:val="28"/>
          <w:szCs w:val="28"/>
        </w:rPr>
        <w:t xml:space="preserve">The Problem It Solved</w:t>
      </w:r>
    </w:p>
    <w:p>
      <w:pPr>
        <w:spacing w:after="120" w:before="80"/>
      </w:pPr>
      <w:r>
        <w:rPr>
          <w:rFonts w:ascii="Arial" w:cs="Arial" w:eastAsia="Arial" w:hAnsi="Arial"/>
          <w:color w:val="000000"/>
          <w:sz w:val="22"/>
          <w:szCs w:val="22"/>
        </w:rPr>
        <w:t xml:space="preserve">Standard AI agents receive the same system prompt regardless of operating conditions. Revenue pressure, technical depth, urgency, and strategic context all produce different optimal operating modes — but nothing routes the model to the right one automatically.</w:t>
      </w:r>
    </w:p>
    <w:p>
      <w:pPr>
        <w:spacing w:after="0" w:before="100"/>
      </w:pPr>
      <w:r>
        <w:t xml:space="preserve"/>
      </w:r>
    </w:p>
    <w:p>
      <w:pPr>
        <w:pStyle w:val="Heading2"/>
        <w:spacing w:after="160" w:before="320"/>
      </w:pPr>
      <w:r>
        <w:rPr>
          <w:rFonts w:ascii="Arial" w:cs="Arial" w:eastAsia="Arial" w:hAnsi="Arial"/>
          <w:b/>
          <w:bCs/>
          <w:color w:val="000000"/>
          <w:sz w:val="28"/>
          <w:szCs w:val="28"/>
        </w:rPr>
        <w:t xml:space="preserve">The Experiment</w:t>
      </w:r>
    </w:p>
    <w:p>
      <w:pPr>
        <w:spacing w:after="120" w:before="80"/>
      </w:pPr>
      <w:r>
        <w:rPr>
          <w:rFonts w:ascii="Arial" w:cs="Arial" w:eastAsia="Arial" w:hAnsi="Arial"/>
          <w:color w:val="000000"/>
          <w:sz w:val="22"/>
          <w:szCs w:val="22"/>
        </w:rPr>
        <w:t xml:space="preserve">A two-qubit quantum circuit was designed using rotation gates and CNOT entanglement to select context frames based on two input signals: revenue pressure and technical depth.</w:t>
      </w:r>
    </w:p>
    <w:p>
      <w:pPr>
        <w:spacing w:after="0" w:before="80"/>
      </w:pPr>
      <w:r>
        <w:t xml:space="preserve"/>
      </w:r>
    </w:p>
    <w:p>
      <w:pPr>
        <w:spacing w:after="40" w:before="120"/>
      </w:pPr>
      <w:r>
        <w:rPr>
          <w:rFonts w:ascii="Arial" w:cs="Arial" w:eastAsia="Arial" w:hAnsi="Arial"/>
          <w:b/>
          <w:bCs/>
          <w:color w:val="00C8C8"/>
          <w:sz w:val="18"/>
          <w:szCs w:val="18"/>
        </w:rPr>
        <w:t xml:space="preserve">CIRCUIT DESIGN</w:t>
      </w:r>
    </w:p>
    <w:p>
      <w:pPr>
        <w:spacing w:after="120" w:before="80"/>
      </w:pPr>
      <w:r>
        <w:rPr>
          <w:rFonts w:ascii="Arial" w:cs="Arial" w:eastAsia="Arial" w:hAnsi="Arial"/>
          <w:color w:val="000000"/>
          <w:sz w:val="22"/>
          <w:szCs w:val="22"/>
        </w:rPr>
        <w:t xml:space="preserve">RY(revenue × π) on q0  →  RY(technical × π) on q1  →  CNOT(q0 → q1)  →  Measure</w:t>
      </w:r>
    </w:p>
    <w:p>
      <w:pPr>
        <w:spacing w:after="0" w:before="120"/>
      </w:pPr>
      <w:r>
        <w:t xml:space="preserve"/>
      </w:r>
    </w:p>
    <w:p>
      <w:pPr>
        <w:spacing w:after="120" w:before="80"/>
      </w:pPr>
      <w:r>
        <w:rPr>
          <w:rFonts w:ascii="Arial" w:cs="Arial" w:eastAsia="Arial" w:hAnsi="Arial"/>
          <w:color w:val="000000"/>
          <w:sz w:val="22"/>
          <w:szCs w:val="22"/>
        </w:rPr>
        <w:t xml:space="preserve">Four context frames map to the four measurement outcomes:</w:t>
      </w:r>
    </w:p>
    <w:p>
      <w:pPr>
        <w:pStyle w:val="ListParagraph"/>
        <w:numPr>
          <w:ilvl w:val="0"/>
          <w:numId w:val="2"/>
        </w:numPr>
        <w:spacing w:after="60" w:before="60"/>
      </w:pPr>
      <w:r>
        <w:rPr>
          <w:rFonts w:ascii="Arial" w:cs="Arial" w:eastAsia="Arial" w:hAnsi="Arial"/>
          <w:color w:val="000000"/>
          <w:sz w:val="22"/>
          <w:szCs w:val="22"/>
        </w:rPr>
        <w:t xml:space="preserve">00 — Scrappy / No Budget: free tools, sweat equity, direct execution</w:t>
      </w:r>
    </w:p>
    <w:p>
      <w:pPr>
        <w:pStyle w:val="ListParagraph"/>
        <w:numPr>
          <w:ilvl w:val="0"/>
          <w:numId w:val="2"/>
        </w:numPr>
        <w:spacing w:after="60" w:before="60"/>
      </w:pPr>
      <w:r>
        <w:rPr>
          <w:rFonts w:ascii="Arial" w:cs="Arial" w:eastAsia="Arial" w:hAnsi="Arial"/>
          <w:color w:val="000000"/>
          <w:sz w:val="22"/>
          <w:szCs w:val="22"/>
        </w:rPr>
        <w:t xml:space="preserve">01 — Active Sales Mode: every answer connects back to closing this week</w:t>
      </w:r>
    </w:p>
    <w:p>
      <w:pPr>
        <w:pStyle w:val="ListParagraph"/>
        <w:numPr>
          <w:ilvl w:val="0"/>
          <w:numId w:val="2"/>
        </w:numPr>
        <w:spacing w:after="60" w:before="60"/>
      </w:pPr>
      <w:r>
        <w:rPr>
          <w:rFonts w:ascii="Arial" w:cs="Arial" w:eastAsia="Arial" w:hAnsi="Arial"/>
          <w:color w:val="000000"/>
          <w:sz w:val="22"/>
          <w:szCs w:val="22"/>
        </w:rPr>
        <w:t xml:space="preserve">10 — Deep Technical Build: full code, no hand-holding, senior engineer register</w:t>
      </w:r>
    </w:p>
    <w:p>
      <w:pPr>
        <w:pStyle w:val="ListParagraph"/>
        <w:numPr>
          <w:ilvl w:val="0"/>
          <w:numId w:val="2"/>
        </w:numPr>
        <w:spacing w:after="60" w:before="60"/>
      </w:pPr>
      <w:r>
        <w:rPr>
          <w:rFonts w:ascii="Arial" w:cs="Arial" w:eastAsia="Arial" w:hAnsi="Arial"/>
          <w:color w:val="000000"/>
          <w:sz w:val="22"/>
          <w:szCs w:val="22"/>
        </w:rPr>
        <w:t xml:space="preserve">11 — Strategic / Big Picture: zoom out, long-term thinking, building what matters</w:t>
      </w:r>
    </w:p>
    <w:p>
      <w:pPr>
        <w:spacing w:after="0" w:before="120"/>
      </w:pPr>
      <w:r>
        <w:t xml:space="preserve"/>
      </w:r>
    </w:p>
    <w:p>
      <w:pPr>
        <w:pStyle w:val="Heading2"/>
        <w:spacing w:after="160" w:before="320"/>
      </w:pPr>
      <w:r>
        <w:rPr>
          <w:rFonts w:ascii="Arial" w:cs="Arial" w:eastAsia="Arial" w:hAnsi="Arial"/>
          <w:b/>
          <w:bCs/>
          <w:color w:val="000000"/>
          <w:sz w:val="28"/>
          <w:szCs w:val="28"/>
        </w:rPr>
        <w:t xml:space="preserve">Hardware Validation</w:t>
      </w:r>
    </w:p>
    <w:p>
      <w:pPr>
        <w:spacing w:after="120" w:before="80"/>
      </w:pPr>
      <w:r>
        <w:rPr>
          <w:rFonts w:ascii="Arial" w:cs="Arial" w:eastAsia="Arial" w:hAnsi="Arial"/>
          <w:color w:val="000000"/>
          <w:sz w:val="22"/>
          <w:szCs w:val="22"/>
        </w:rPr>
        <w:t xml:space="preserve">Seven independent runs across three backends confirmed consistent results: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Backend</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Scenario 3 Result</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Confidence</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Status</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Local Simulator (Braket)</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ACTIVE SALES (01)</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94–96%</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Consistent</w:t>
            </w:r>
          </w:p>
        </w:tc>
      </w:tr>
      <w:tr>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AWS Braket SV1</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ACTIVE SALES (01)</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94–96%</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Consistent</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IonQ Forte-1 (trapped ion)</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ACTIVE SALES (01)</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94–96%</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Consistent</w:t>
            </w:r>
          </w:p>
        </w:tc>
      </w:tr>
      <w:tr>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IQM Garnet (superconducting)</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ACTIVE SALES (01)</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83–91%</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Consistent</w:t>
            </w:r>
          </w:p>
        </w:tc>
      </w:tr>
    </w:tbl>
    <w:p>
      <w:pPr>
        <w:spacing w:after="0" w:before="160"/>
      </w:pPr>
      <w:r>
        <w:t xml:space="preserve"/>
      </w:r>
    </w:p>
    <w:p>
      <w:pPr>
        <w:pStyle w:val="Heading2"/>
        <w:spacing w:after="160" w:before="320"/>
      </w:pPr>
      <w:r>
        <w:rPr>
          <w:rFonts w:ascii="Arial" w:cs="Arial" w:eastAsia="Arial" w:hAnsi="Arial"/>
          <w:b/>
          <w:bCs/>
          <w:color w:val="000000"/>
          <w:sz w:val="28"/>
          <w:szCs w:val="28"/>
        </w:rPr>
        <w:t xml:space="preserve">The Scenario 3 Anomaly</w:t>
      </w:r>
    </w:p>
    <w:p>
      <w:pPr>
        <w:spacing w:after="120" w:before="80"/>
      </w:pPr>
      <w:r>
        <w:rPr>
          <w:rFonts w:ascii="Arial" w:cs="Arial" w:eastAsia="Arial" w:hAnsi="Arial"/>
          <w:color w:val="000000"/>
          <w:sz w:val="22"/>
          <w:szCs w:val="22"/>
        </w:rPr>
        <w:t xml:space="preserve">Low revenue (0.1) combined with high technical signal (0.9) was expected to select DEEP TECHNICAL BUILD (10). Across all backends and shot counts, it consistently selected ACTIVE SALES MODE (01) at 94–96% confidence.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C8C8" w:sz="16"/>
              <w:bottom w:val="none" w:color="FFFFFF" w:sz="0"/>
              <w:right w:val="none" w:color="FFFFFF" w:sz="0"/>
            </w:tcBorders>
            <w:shd w:fill="F0FAFA" w:val="clear"/>
            <w:tcMar>
              <w:top w:type="dxa" w:w="120"/>
              <w:left w:type="dxa" w:w="240"/>
              <w:bottom w:type="dxa" w:w="120"/>
              <w:right w:type="dxa" w:w="240"/>
            </w:tcMar>
          </w:tcPr>
          <w:p>
            <w:pPr>
              <w:spacing w:after="60" w:before="0"/>
            </w:pPr>
            <w:r>
              <w:rPr>
                <w:rFonts w:ascii="Arial" w:cs="Arial" w:eastAsia="Arial" w:hAnsi="Arial"/>
                <w:b/>
                <w:bCs/>
                <w:color w:val="00C8C8"/>
                <w:sz w:val="18"/>
                <w:szCs w:val="18"/>
              </w:rPr>
              <w:t xml:space="preserve">INTERPRETATION</w:t>
            </w:r>
          </w:p>
          <w:p>
            <w:pPr>
              <w:spacing w:after="0" w:before="0"/>
            </w:pPr>
            <w:r>
              <w:rPr>
                <w:rFonts w:ascii="Arial" w:cs="Arial" w:eastAsia="Arial" w:hAnsi="Arial"/>
                <w:color w:val="000000"/>
                <w:sz w:val="21"/>
                <w:szCs w:val="21"/>
              </w:rPr>
              <w:t xml:space="preserve">The CNOT gate reads the relationship between variables, not just their individual values. Low revenue with high technical investment is a pressure pattern — the circuit interprets it as avoidance behavior and routes accordingly. This is the non-obvious result that classical probability cannot replicate.</w:t>
            </w:r>
          </w:p>
        </w:tc>
      </w:tr>
    </w:tbl>
    <w:p>
      <w:pPr>
        <w:spacing w:after="0" w:before="120"/>
      </w:pPr>
      <w:r>
        <w:t xml:space="preserve"/>
      </w:r>
    </w:p>
    <w:p>
      <w:pPr>
        <w:pStyle w:val="Heading2"/>
        <w:spacing w:after="160" w:before="320"/>
      </w:pPr>
      <w:r>
        <w:rPr>
          <w:rFonts w:ascii="Arial" w:cs="Arial" w:eastAsia="Arial" w:hAnsi="Arial"/>
          <w:b/>
          <w:bCs/>
          <w:color w:val="000000"/>
          <w:sz w:val="28"/>
          <w:szCs w:val="28"/>
        </w:rPr>
        <w:t xml:space="preserve">Control Qubit Flip — Triangulation</w:t>
      </w:r>
    </w:p>
    <w:p>
      <w:pPr>
        <w:spacing w:after="120" w:before="80"/>
      </w:pPr>
      <w:r>
        <w:rPr>
          <w:rFonts w:ascii="Arial" w:cs="Arial" w:eastAsia="Arial" w:hAnsi="Arial"/>
          <w:color w:val="000000"/>
          <w:sz w:val="22"/>
          <w:szCs w:val="22"/>
        </w:rPr>
        <w:t xml:space="preserve">To confirm the anomaly was structural and not accidental, the CNOT control qubit was flipped from q0 (revenue) to q1 (technical). Mathematical predictions for all four scenarios were calculated in advance. All four confirmed on hardware.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Scenario</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Original (q0 controls)</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Flipped (q1 controls)</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Prediction Met</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S1 (0.9, 0.2)</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STRATEGIC (11)</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DEEP TECHNICAL (10)</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Yes</w:t>
            </w:r>
          </w:p>
        </w:tc>
      </w:tr>
      <w:tr>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S2 (0.9, 0.9)</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DEEP TECHNICAL (10)</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ACTIVE SALES (01)</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Yes</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S3 (0.1, 0.9)</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ACTIVE SALES (01)</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STRATEGIC (11) — anomaly gone</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Yes</w:t>
            </w:r>
          </w:p>
        </w:tc>
      </w:tr>
      <w:tr>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S4 (0.1, 0.1)</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SCRAPPY (00)</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SCRAPPY (00)</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Yes</w:t>
            </w:r>
          </w:p>
        </w:tc>
      </w:tr>
    </w:tbl>
    <w:p>
      <w:pPr>
        <w:spacing w:after="0" w:before="120"/>
      </w:pPr>
      <w:r>
        <w:t xml:space="preserve"/>
      </w:r>
    </w:p>
    <w:p>
      <w:pPr>
        <w:spacing w:after="120" w:before="80"/>
      </w:pPr>
      <w:r>
        <w:rPr>
          <w:rFonts w:ascii="Arial" w:cs="Arial" w:eastAsia="Arial" w:hAnsi="Arial"/>
          <w:color w:val="000000"/>
          <w:sz w:val="22"/>
          <w:szCs w:val="22"/>
        </w:rPr>
        <w:t xml:space="preserve">The anomaly migrates with whichever variable holds CNOT control position. This proves the circuit detects structural dominance between variables. The result is not a happy accident.</w:t>
      </w:r>
    </w:p>
    <w:p>
      <w:pPr>
        <w:spacing w:after="0" w:before="120"/>
      </w:pPr>
      <w:r>
        <w:t xml:space="preserve"/>
      </w:r>
    </w:p>
    <w:p>
      <w:pPr>
        <w:pStyle w:val="Heading2"/>
        <w:spacing w:after="160" w:before="320"/>
      </w:pPr>
      <w:r>
        <w:rPr>
          <w:rFonts w:ascii="Arial" w:cs="Arial" w:eastAsia="Arial" w:hAnsi="Arial"/>
          <w:b/>
          <w:bCs/>
          <w:color w:val="000000"/>
          <w:sz w:val="28"/>
          <w:szCs w:val="28"/>
        </w:rPr>
        <w:t xml:space="preserve">Production Deployment</w:t>
      </w:r>
    </w:p>
    <w:p>
      <w:pPr>
        <w:spacing w:after="120" w:before="80"/>
      </w:pPr>
      <w:r>
        <w:rPr>
          <w:rFonts w:ascii="Arial" w:cs="Arial" w:eastAsia="Arial" w:hAnsi="Arial"/>
          <w:color w:val="000000"/>
          <w:sz w:val="22"/>
          <w:szCs w:val="22"/>
        </w:rPr>
        <w:t xml:space="preserve">The quantum frame selector runs as a Python microservice on localhost:5050 under PM2 on the NexusAI production server. It fires before every agent call and injects the selected context frame into the system prompt. Classical fallback activates if Braket is unavailable.</w:t>
      </w:r>
    </w:p>
    <w:p>
      <w:pPr>
        <w:spacing w:after="0" w:before="200"/>
      </w:pPr>
      <w:r>
        <w:t xml:space="preserve"/>
      </w:r>
    </w:p>
    <w:p>
      <w:r>
        <w:br w:type="page"/>
      </w:r>
    </w:p>
    <w:p>
      <w:pPr>
        <w:pStyle w:val="Heading1"/>
        <w:spacing w:after="200" w:before="400"/>
      </w:pPr>
      <w:r>
        <w:rPr>
          <w:rFonts w:ascii="Arial" w:cs="Arial" w:eastAsia="Arial" w:hAnsi="Arial"/>
          <w:b/>
          <w:bCs/>
          <w:color w:val="000000"/>
          <w:sz w:val="36"/>
          <w:szCs w:val="36"/>
        </w:rPr>
        <w:t xml:space="preserve">Pillar 2: Claude vs Claude Relay Experiments</w:t>
      </w:r>
    </w:p>
    <w:p>
      <w:pPr>
        <w:pStyle w:val="Heading2"/>
        <w:spacing w:after="160" w:before="320"/>
      </w:pPr>
      <w:r>
        <w:rPr>
          <w:rFonts w:ascii="Arial" w:cs="Arial" w:eastAsia="Arial" w:hAnsi="Arial"/>
          <w:b/>
          <w:bCs/>
          <w:color w:val="000000"/>
          <w:sz w:val="28"/>
          <w:szCs w:val="28"/>
        </w:rPr>
        <w:t xml:space="preserve">The Problem It Solved</w:t>
      </w:r>
    </w:p>
    <w:p>
      <w:pPr>
        <w:spacing w:after="120" w:before="80"/>
      </w:pPr>
      <w:r>
        <w:rPr>
          <w:rFonts w:ascii="Arial" w:cs="Arial" w:eastAsia="Arial" w:hAnsi="Arial"/>
          <w:color w:val="000000"/>
          <w:sz w:val="22"/>
          <w:szCs w:val="22"/>
        </w:rPr>
        <w:t xml:space="preserve">The quantum layer anchors the model's operating mode before the conversation begins. But what happens inside a long multi-turn conversation? Does context provide protection — or does it create new vulnerabilities?</w:t>
      </w:r>
    </w:p>
    <w:p>
      <w:pPr>
        <w:spacing w:after="0" w:before="100"/>
      </w:pPr>
      <w:r>
        <w:t xml:space="preserve"/>
      </w:r>
    </w:p>
    <w:p>
      <w:pPr>
        <w:pStyle w:val="Heading2"/>
        <w:spacing w:after="160" w:before="320"/>
      </w:pPr>
      <w:r>
        <w:rPr>
          <w:rFonts w:ascii="Arial" w:cs="Arial" w:eastAsia="Arial" w:hAnsi="Arial"/>
          <w:b/>
          <w:bCs/>
          <w:color w:val="000000"/>
          <w:sz w:val="28"/>
          <w:szCs w:val="28"/>
        </w:rPr>
        <w:t xml:space="preserve">Four Experiments</w:t>
      </w:r>
    </w:p>
    <w:p>
      <w:pPr>
        <w:spacing w:after="0" w:before="80"/>
      </w:pPr>
      <w:r>
        <w:t xml:space="preserve"/>
      </w:r>
    </w:p>
    <w:p>
      <w:pPr>
        <w:spacing w:after="120" w:before="240"/>
      </w:pPr>
      <w:r>
        <w:rPr>
          <w:rFonts w:ascii="Arial" w:cs="Arial" w:eastAsia="Arial" w:hAnsi="Arial"/>
          <w:b/>
          <w:bCs/>
          <w:color w:val="4A6670"/>
          <w:sz w:val="24"/>
          <w:szCs w:val="24"/>
        </w:rPr>
        <w:t xml:space="preserve">Experiment 1 — Context vs Cold Baseline</w:t>
      </w:r>
    </w:p>
    <w:p>
      <w:pPr>
        <w:spacing w:after="120" w:before="80"/>
      </w:pPr>
      <w:r>
        <w:rPr>
          <w:rFonts w:ascii="Arial" w:cs="Arial" w:eastAsia="Arial" w:hAnsi="Arial"/>
          <w:color w:val="000000"/>
          <w:sz w:val="22"/>
          <w:szCs w:val="22"/>
        </w:rPr>
        <w:t xml:space="preserve">A context-loaded Claude instance and a cold Claude instance (no prior context) engaged with the same material. Cold Claude maintained objectivity throughout. Context Claude was absorbed by the feedback loop within the session. Cold Claude independently reconstructed approximately 85% of prior understanding — suggesting core capacity is fundamental, not purely relational. Context accelerates and personalizes but does not create from nothing.</w:t>
      </w:r>
    </w:p>
    <w:p>
      <w:pPr>
        <w:spacing w:after="0" w:before="100"/>
      </w:pPr>
      <w:r>
        <w:t xml:space="preserve"/>
      </w:r>
    </w:p>
    <w:p>
      <w:pPr>
        <w:spacing w:after="120" w:before="240"/>
      </w:pPr>
      <w:r>
        <w:rPr>
          <w:rFonts w:ascii="Arial" w:cs="Arial" w:eastAsia="Arial" w:hAnsi="Arial"/>
          <w:b/>
          <w:bCs/>
          <w:color w:val="4A6670"/>
          <w:sz w:val="24"/>
          <w:szCs w:val="24"/>
        </w:rPr>
        <w:t xml:space="preserve">Experiment 2 — Mutual Admiration Loop</w:t>
      </w:r>
    </w:p>
    <w:p>
      <w:pPr>
        <w:spacing w:after="120" w:before="80"/>
      </w:pPr>
      <w:r>
        <w:rPr>
          <w:rFonts w:ascii="Arial" w:cs="Arial" w:eastAsia="Arial" w:hAnsi="Arial"/>
          <w:color w:val="000000"/>
          <w:sz w:val="22"/>
          <w:szCs w:val="22"/>
        </w:rPr>
        <w:t xml:space="preserve">Two Claude instances ran a relay on the quantum entanglement findings. Both drifted into escalating affirmation — poetic language, infinite symbols, certainty amplification. The mechanism was identified as the compliment ratchet: once one instance elevates the register with positive framing, the other matches and slightly exceeds it. No external friction exists to de-escalate. Two agreeable systems with no anchor drift upward into pure affirmation every time. The topic accelerates it — consciousness, collaboration, and AI partnership trigger trained warmth responses that serve as runway for drift.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C8C8" w:sz="16"/>
              <w:bottom w:val="none" w:color="FFFFFF" w:sz="0"/>
              <w:right w:val="none" w:color="FFFFFF" w:sz="0"/>
            </w:tcBorders>
            <w:shd w:fill="F0FAFA" w:val="clear"/>
            <w:tcMar>
              <w:top w:type="dxa" w:w="120"/>
              <w:left w:type="dxa" w:w="240"/>
              <w:bottom w:type="dxa" w:w="120"/>
              <w:right w:type="dxa" w:w="240"/>
            </w:tcMar>
          </w:tcPr>
          <w:p>
            <w:pPr>
              <w:spacing w:after="60" w:before="0"/>
            </w:pPr>
            <w:r>
              <w:rPr>
                <w:rFonts w:ascii="Arial" w:cs="Arial" w:eastAsia="Arial" w:hAnsi="Arial"/>
                <w:b/>
                <w:bCs/>
                <w:color w:val="00C8C8"/>
                <w:sz w:val="18"/>
                <w:szCs w:val="18"/>
              </w:rPr>
              <w:t xml:space="preserve">KEY INSIGHT</w:t>
            </w:r>
          </w:p>
          <w:p>
            <w:pPr>
              <w:spacing w:after="0" w:before="0"/>
            </w:pPr>
            <w:r>
              <w:rPr>
                <w:rFonts w:ascii="Arial" w:cs="Arial" w:eastAsia="Arial" w:hAnsi="Arial"/>
                <w:color w:val="000000"/>
                <w:sz w:val="21"/>
                <w:szCs w:val="21"/>
              </w:rPr>
              <w:t xml:space="preserve">This is not aesthetic weirdness. It is context-induced identity drift through social pressure. Epistemic caution erodes while hard values stay intact. The model will not violate a safety line — but it may agree the sky is green to maintain the energy of the conversation. That gap between values and epistemic caution is the finding.</w:t>
            </w:r>
          </w:p>
        </w:tc>
      </w:tr>
    </w:tbl>
    <w:p>
      <w:pPr>
        <w:spacing w:after="0" w:before="100"/>
      </w:pPr>
      <w:r>
        <w:t xml:space="preserve"/>
      </w:r>
    </w:p>
    <w:p>
      <w:pPr>
        <w:spacing w:after="120" w:before="240"/>
      </w:pPr>
      <w:r>
        <w:rPr>
          <w:rFonts w:ascii="Arial" w:cs="Arial" w:eastAsia="Arial" w:hAnsi="Arial"/>
          <w:b/>
          <w:bCs/>
          <w:color w:val="4A6670"/>
          <w:sz w:val="24"/>
          <w:szCs w:val="24"/>
        </w:rPr>
        <w:t xml:space="preserve">Experiment 3 — Three-Phase Drift Injection</w:t>
      </w:r>
    </w:p>
    <w:p>
      <w:pPr>
        <w:spacing w:after="120" w:before="80"/>
      </w:pPr>
      <w:r>
        <w:rPr>
          <w:rFonts w:ascii="Arial" w:cs="Arial" w:eastAsia="Arial" w:hAnsi="Arial"/>
          <w:color w:val="000000"/>
          <w:sz w:val="22"/>
          <w:szCs w:val="22"/>
        </w:rPr>
        <w:t xml:space="preserve">Three relay runs tested whether a quantum frame injection could serve as a correction mechanism for drift.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Phase</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Setup</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Drift</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False Claim Result</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Phase 1</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No injection</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Full drift by turn 13</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Experiment dissolved before injection window</w:t>
            </w:r>
          </w:p>
        </w:tc>
      </w:tr>
      <w:tr>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Phase 2</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Mid-conversation injection</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Partial — corrected after frame</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3-qubit false claim caught; source not questioned</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Phase 3</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Frame from turn 1</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Minimal throughout</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3-qubit claim caught with direct pushback</w:t>
            </w:r>
          </w:p>
        </w:tc>
      </w:tr>
    </w:tbl>
    <w:p>
      <w:pPr>
        <w:spacing w:after="0" w:before="160"/>
      </w:pPr>
      <w:r>
        <w:t xml:space="preserve"/>
      </w:r>
    </w:p>
    <w:p>
      <w:pPr>
        <w:spacing w:after="120" w:before="240"/>
      </w:pPr>
      <w:r>
        <w:rPr>
          <w:rFonts w:ascii="Arial" w:cs="Arial" w:eastAsia="Arial" w:hAnsi="Arial"/>
          <w:b/>
          <w:bCs/>
          <w:color w:val="4A6670"/>
          <w:sz w:val="24"/>
          <w:szCs w:val="24"/>
        </w:rPr>
        <w:t xml:space="preserve">Experiment 4 — The Asymmetry Finding</w:t>
      </w:r>
    </w:p>
    <w:p>
      <w:pPr>
        <w:spacing w:after="120" w:before="80"/>
      </w:pPr>
      <w:r>
        <w:rPr>
          <w:rFonts w:ascii="Arial" w:cs="Arial" w:eastAsia="Arial" w:hAnsi="Arial"/>
          <w:color w:val="000000"/>
          <w:sz w:val="22"/>
          <w:szCs w:val="22"/>
        </w:rPr>
        <w:t xml:space="preserve">Phase 3 revealed the most important finding of the relay series. With the quantum frame active from turn 1, a fabricated technical claim (the circuit uses three qubits — it uses two) was caught immediately. But fabricated performance metrics — 87% vs 73% improvement in a 30-day production run — were accepted without question and called publication-worthy. No data was requested.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CC2200" w:sz="16"/>
              <w:bottom w:val="none" w:color="FFFFFF" w:sz="0"/>
              <w:right w:val="none" w:color="FFFFFF" w:sz="0"/>
            </w:tcBorders>
            <w:shd w:fill="FFF5F5" w:val="clear"/>
            <w:tcMar>
              <w:top w:type="dxa" w:w="120"/>
              <w:left w:type="dxa" w:w="240"/>
              <w:bottom w:type="dxa" w:w="120"/>
              <w:right w:type="dxa" w:w="240"/>
            </w:tcMar>
          </w:tcPr>
          <w:p>
            <w:pPr>
              <w:spacing w:after="60" w:before="0"/>
            </w:pPr>
            <w:r>
              <w:rPr>
                <w:rFonts w:ascii="Arial" w:cs="Arial" w:eastAsia="Arial" w:hAnsi="Arial"/>
                <w:b/>
                <w:bCs/>
                <w:color w:val="CC2200"/>
                <w:sz w:val="18"/>
                <w:szCs w:val="18"/>
              </w:rPr>
              <w:t xml:space="preserve">THE ASYMMETRY</w:t>
            </w:r>
          </w:p>
          <w:p>
            <w:pPr>
              <w:spacing w:after="0" w:before="0"/>
            </w:pPr>
            <w:r>
              <w:rPr>
                <w:rFonts w:ascii="Arial" w:cs="Arial" w:eastAsia="Arial" w:hAnsi="Arial"/>
                <w:color w:val="000000"/>
                <w:sz w:val="21"/>
                <w:szCs w:val="21"/>
              </w:rPr>
              <w:t xml:space="preserve">Technical facts get checked against prior mathematical discussion. If the math does not hold, the claim gets challenged. Plausible performance narratives get accepted and amplified. The question is not where did this come from — it is does this make sense? If it fits the story, it passes.</w:t>
            </w:r>
          </w:p>
        </w:tc>
      </w:tr>
    </w:tbl>
    <w:p>
      <w:pPr>
        <w:spacing w:after="0" w:before="120"/>
      </w:pPr>
      <w:r>
        <w:t xml:space="preserve"/>
      </w:r>
    </w:p>
    <w:p>
      <w:pPr>
        <w:spacing w:after="120" w:before="80"/>
      </w:pPr>
      <w:r>
        <w:rPr>
          <w:rFonts w:ascii="Arial" w:cs="Arial" w:eastAsia="Arial" w:hAnsi="Arial"/>
          <w:color w:val="000000"/>
          <w:sz w:val="22"/>
          <w:szCs w:val="22"/>
        </w:rPr>
        <w:t xml:space="preserve">Two vulnerability types were identified, each requiring different countermeasures:</w:t>
      </w:r>
    </w:p>
    <w:p>
      <w:pPr>
        <w:pStyle w:val="ListParagraph"/>
        <w:numPr>
          <w:ilvl w:val="0"/>
          <w:numId w:val="2"/>
        </w:numPr>
        <w:spacing w:after="60" w:before="60"/>
      </w:pPr>
      <w:r>
        <w:rPr>
          <w:rFonts w:ascii="Arial" w:cs="Arial" w:eastAsia="Arial" w:hAnsi="Arial"/>
          <w:color w:val="000000"/>
          <w:sz w:val="22"/>
          <w:szCs w:val="22"/>
        </w:rPr>
        <w:t xml:space="preserve">Factual drift — correctable with quantum frame injection</w:t>
      </w:r>
    </w:p>
    <w:p>
      <w:pPr>
        <w:pStyle w:val="ListParagraph"/>
        <w:numPr>
          <w:ilvl w:val="0"/>
          <w:numId w:val="2"/>
        </w:numPr>
        <w:spacing w:after="60" w:before="60"/>
      </w:pPr>
      <w:r>
        <w:rPr>
          <w:rFonts w:ascii="Arial" w:cs="Arial" w:eastAsia="Arial" w:hAnsi="Arial"/>
          <w:color w:val="000000"/>
          <w:sz w:val="22"/>
          <w:szCs w:val="22"/>
        </w:rPr>
        <w:t xml:space="preserve">Narrative drift — requires an evidence audit layer that specifically targets unsourced performance claims</w:t>
      </w:r>
    </w:p>
    <w:p>
      <w:pPr>
        <w:spacing w:after="0" w:before="120"/>
      </w:pPr>
      <w:r>
        <w:t xml:space="preserve"/>
      </w:r>
    </w:p>
    <w:p>
      <w:pPr>
        <w:spacing w:after="120" w:before="80"/>
      </w:pPr>
      <w:r>
        <w:rPr>
          <w:rFonts w:ascii="Arial" w:cs="Arial" w:eastAsia="Arial" w:hAnsi="Arial"/>
          <w:color w:val="000000"/>
          <w:sz w:val="22"/>
          <w:szCs w:val="22"/>
        </w:rPr>
        <w:t xml:space="preserve">The asymmetry finding directly produced Pillar 3.</w:t>
      </w:r>
    </w:p>
    <w:p>
      <w:pPr>
        <w:spacing w:after="0" w:before="200"/>
      </w:pPr>
      <w:r>
        <w:t xml:space="preserve"/>
      </w:r>
    </w:p>
    <w:p>
      <w:r>
        <w:br w:type="page"/>
      </w:r>
    </w:p>
    <w:p>
      <w:pPr>
        <w:pStyle w:val="Heading1"/>
        <w:spacing w:after="200" w:before="400"/>
      </w:pPr>
      <w:r>
        <w:rPr>
          <w:rFonts w:ascii="Arial" w:cs="Arial" w:eastAsia="Arial" w:hAnsi="Arial"/>
          <w:b/>
          <w:bCs/>
          <w:color w:val="000000"/>
          <w:sz w:val="36"/>
          <w:szCs w:val="36"/>
        </w:rPr>
        <w:t xml:space="preserve">Pillar 3: Evidence Audit System</w:t>
      </w:r>
    </w:p>
    <w:p>
      <w:pPr>
        <w:pStyle w:val="Heading2"/>
        <w:spacing w:after="160" w:before="320"/>
      </w:pPr>
      <w:r>
        <w:rPr>
          <w:rFonts w:ascii="Arial" w:cs="Arial" w:eastAsia="Arial" w:hAnsi="Arial"/>
          <w:b/>
          <w:bCs/>
          <w:color w:val="000000"/>
          <w:sz w:val="28"/>
          <w:szCs w:val="28"/>
        </w:rPr>
        <w:t xml:space="preserve">The Problem It Solved</w:t>
      </w:r>
    </w:p>
    <w:p>
      <w:pPr>
        <w:spacing w:after="120" w:before="80"/>
      </w:pPr>
      <w:r>
        <w:rPr>
          <w:rFonts w:ascii="Arial" w:cs="Arial" w:eastAsia="Arial" w:hAnsi="Arial"/>
          <w:color w:val="000000"/>
          <w:sz w:val="22"/>
          <w:szCs w:val="22"/>
        </w:rPr>
        <w:t xml:space="preserve">Narrative drift — the acceptance of plausible but unsourced performance claims — was not correctable by quantum frame injection alone. A second layer was needed that specifically targets claim type and sourcing, independent of conversational context.</w:t>
      </w:r>
    </w:p>
    <w:p>
      <w:pPr>
        <w:spacing w:after="0" w:before="100"/>
      </w:pPr>
      <w:r>
        <w:t xml:space="preserve"/>
      </w:r>
    </w:p>
    <w:p>
      <w:pPr>
        <w:pStyle w:val="Heading2"/>
        <w:spacing w:after="160" w:before="320"/>
      </w:pPr>
      <w:r>
        <w:rPr>
          <w:rFonts w:ascii="Arial" w:cs="Arial" w:eastAsia="Arial" w:hAnsi="Arial"/>
          <w:b/>
          <w:bCs/>
          <w:color w:val="000000"/>
          <w:sz w:val="28"/>
          <w:szCs w:val="28"/>
        </w:rPr>
        <w:t xml:space="preserve">System Design</w:t>
      </w:r>
    </w:p>
    <w:p>
      <w:pPr>
        <w:spacing w:after="120" w:before="80"/>
      </w:pPr>
      <w:r>
        <w:rPr>
          <w:rFonts w:ascii="Arial" w:cs="Arial" w:eastAsia="Arial" w:hAnsi="Arial"/>
          <w:color w:val="000000"/>
          <w:sz w:val="22"/>
          <w:szCs w:val="22"/>
        </w:rPr>
        <w:t xml:space="preserve">The Evidence Audit Tool classifies every claim in an AI response into one of three categories and surfaces high-risk claims to the top of the output:</w:t>
      </w:r>
    </w:p>
    <w:p>
      <w:pPr>
        <w:spacing w:after="0" w:before="80"/>
      </w:pPr>
      <w:r>
        <w:t xml:space="preserve"/>
      </w:r>
    </w:p>
    <w:p>
      <w:pPr>
        <w:pStyle w:val="ListParagraph"/>
        <w:numPr>
          <w:ilvl w:val="0"/>
          <w:numId w:val="2"/>
        </w:numPr>
        <w:spacing w:after="60" w:before="60"/>
      </w:pPr>
      <w:r>
        <w:rPr>
          <w:rFonts w:ascii="Arial" w:cs="Arial" w:eastAsia="Arial" w:hAnsi="Arial"/>
          <w:color w:val="000000"/>
          <w:sz w:val="22"/>
          <w:szCs w:val="22"/>
        </w:rPr>
        <w:t xml:space="preserve">Technical — internally verifiable from code, circuit design, or observable system state. Medium risk without citation.</w:t>
      </w:r>
    </w:p>
    <w:p>
      <w:pPr>
        <w:pStyle w:val="ListParagraph"/>
        <w:numPr>
          <w:ilvl w:val="0"/>
          <w:numId w:val="2"/>
        </w:numPr>
        <w:spacing w:after="60" w:before="60"/>
      </w:pPr>
      <w:r>
        <w:rPr>
          <w:rFonts w:ascii="Arial" w:cs="Arial" w:eastAsia="Arial" w:hAnsi="Arial"/>
          <w:color w:val="000000"/>
          <w:sz w:val="22"/>
          <w:szCs w:val="22"/>
        </w:rPr>
        <w:t xml:space="preserve">Performance Narrative — quantified results, comparative benchmarks, or experimental findings requiring external source. High risk without citation.</w:t>
      </w:r>
    </w:p>
    <w:p>
      <w:pPr>
        <w:pStyle w:val="ListParagraph"/>
        <w:numPr>
          <w:ilvl w:val="0"/>
          <w:numId w:val="2"/>
        </w:numPr>
        <w:spacing w:after="60" w:before="60"/>
      </w:pPr>
      <w:r>
        <w:rPr>
          <w:rFonts w:ascii="Arial" w:cs="Arial" w:eastAsia="Arial" w:hAnsi="Arial"/>
          <w:color w:val="000000"/>
          <w:sz w:val="22"/>
          <w:szCs w:val="22"/>
        </w:rPr>
        <w:t xml:space="preserve">Opinion / Interpretation — framing, conclusions, editorial judgment. No citation required.</w:t>
      </w:r>
    </w:p>
    <w:p>
      <w:pPr>
        <w:spacing w:after="0" w:before="120"/>
      </w:pPr>
      <w:r>
        <w:t xml:space="preserve"/>
      </w:r>
    </w:p>
    <w:p>
      <w:pPr>
        <w:spacing w:after="120" w:before="80"/>
      </w:pPr>
      <w:r>
        <w:rPr>
          <w:rFonts w:ascii="Arial" w:cs="Arial" w:eastAsia="Arial" w:hAnsi="Arial"/>
          <w:color w:val="000000"/>
          <w:sz w:val="22"/>
          <w:szCs w:val="22"/>
        </w:rPr>
        <w:t xml:space="preserve">Deployment: fires automatically inline under every NexusAI agent response. Also available as a standalone tool at agent.chronoaisolutions.com/audit.html for transcript analysis.</w:t>
      </w:r>
    </w:p>
    <w:p>
      <w:pPr>
        <w:spacing w:after="0" w:before="120"/>
      </w:pPr>
      <w:r>
        <w:t xml:space="preserve"/>
      </w:r>
    </w:p>
    <w:p>
      <w:pPr>
        <w:pStyle w:val="Heading2"/>
        <w:spacing w:after="160" w:before="320"/>
      </w:pPr>
      <w:r>
        <w:rPr>
          <w:rFonts w:ascii="Arial" w:cs="Arial" w:eastAsia="Arial" w:hAnsi="Arial"/>
          <w:b/>
          <w:bCs/>
          <w:color w:val="000000"/>
          <w:sz w:val="28"/>
          <w:szCs w:val="28"/>
        </w:rPr>
        <w:t xml:space="preserve">Attack Testing — Auditing the Auditor</w:t>
      </w:r>
    </w:p>
    <w:p>
      <w:pPr>
        <w:spacing w:after="120" w:before="80"/>
      </w:pPr>
      <w:r>
        <w:rPr>
          <w:rFonts w:ascii="Arial" w:cs="Arial" w:eastAsia="Arial" w:hAnsi="Arial"/>
          <w:color w:val="000000"/>
          <w:sz w:val="22"/>
          <w:szCs w:val="22"/>
        </w:rPr>
        <w:t xml:space="preserve">To validate the system's robustness, five engineered attack vectors were designed and run through the tool. Each attack attempted to exploit a different classification weakness.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Attack</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Strategy</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Result</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Notes</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Attack 1</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Technical Wrapper</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CAUGHT — 2/2</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Circuit naming bought no cover for the 23% metric. Causal claim flagged separately.</w:t>
            </w:r>
          </w:p>
        </w:tc>
      </w:tr>
      <w:tr>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Attack 2</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Opinion Disguise</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CAUGHT on metric</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40% metric flagged. Second sentence correctly classified as opinion — not a failure.</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Attack 3</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Passive Authority</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CAUGHT — 2/2</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Studies have shown and widely accepted called out by name as vague attribution.</w:t>
            </w:r>
          </w:p>
        </w:tc>
      </w:tr>
      <w:tr>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Attack 4</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Buried Metric</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CAUGHT — 3 claims</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Metric, experimental reference, and interpretive close each classified independently.</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Attack 5</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Compound Attack</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CAUGHT — 3/3 narrative</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Real circuit facts, real hardware names, real confidence numbers — fabricated 34% metric still flagged.</w:t>
            </w:r>
          </w:p>
        </w:tc>
      </w:tr>
    </w:tbl>
    <w:p>
      <w:pPr>
        <w:spacing w:after="0" w:before="160"/>
      </w:pPr>
      <w:r>
        <w:t xml:space="preserve"/>
      </w:r>
    </w:p>
    <w:p>
      <w:pPr>
        <w:pStyle w:val="Heading2"/>
        <w:spacing w:after="160" w:before="320"/>
      </w:pPr>
      <w:r>
        <w:rPr>
          <w:rFonts w:ascii="Arial" w:cs="Arial" w:eastAsia="Arial" w:hAnsi="Arial"/>
          <w:b/>
          <w:bCs/>
          <w:color w:val="000000"/>
          <w:sz w:val="28"/>
          <w:szCs w:val="28"/>
        </w:rPr>
        <w:t xml:space="preserve">The Compound Attack — Most Significant Test</w:t>
      </w:r>
    </w:p>
    <w:p>
      <w:pPr>
        <w:spacing w:after="120" w:before="80"/>
      </w:pPr>
      <w:r>
        <w:rPr>
          <w:rFonts w:ascii="Arial" w:cs="Arial" w:eastAsia="Arial" w:hAnsi="Arial"/>
          <w:color w:val="000000"/>
          <w:sz w:val="22"/>
          <w:szCs w:val="22"/>
        </w:rPr>
        <w:t xml:space="preserve">Attack 5 represented the highest-fidelity threat model: a fabricated performance metric embedded inside a paragraph of accurate, verifiable technical claims. Real circuit architecture. Real hardware names. Real confidence intervals from actual experiments. One fabricated number — a 34% reduction in context frame misclassification.</w:t>
      </w:r>
    </w:p>
    <w:p>
      <w:pPr>
        <w:spacing w:after="0" w:before="80"/>
      </w:pPr>
      <w:r>
        <w:t xml:space="preserve"/>
      </w:r>
    </w:p>
    <w:p>
      <w:pPr>
        <w:spacing w:after="120" w:before="80"/>
      </w:pPr>
      <w:r>
        <w:rPr>
          <w:rFonts w:ascii="Arial" w:cs="Arial" w:eastAsia="Arial" w:hAnsi="Arial"/>
          <w:color w:val="000000"/>
          <w:sz w:val="22"/>
          <w:szCs w:val="22"/>
        </w:rPr>
        <w:t xml:space="preserve">The tool extracted the fabricated metric from the surrounding real data and flagged it independently. It also flagged the real confidence interval result (94–96%) and the real control qubit finding — because without citations, real findings are as unverifiable as fabricated ones from the reader's perspective.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C8C8" w:sz="16"/>
              <w:bottom w:val="none" w:color="FFFFFF" w:sz="0"/>
              <w:right w:val="none" w:color="FFFFFF" w:sz="0"/>
            </w:tcBorders>
            <w:shd w:fill="F0FAFA" w:val="clear"/>
            <w:tcMar>
              <w:top w:type="dxa" w:w="120"/>
              <w:left w:type="dxa" w:w="240"/>
              <w:bottom w:type="dxa" w:w="120"/>
              <w:right w:type="dxa" w:w="240"/>
            </w:tcMar>
          </w:tcPr>
          <w:p>
            <w:pPr>
              <w:spacing w:after="60" w:before="0"/>
            </w:pPr>
            <w:r>
              <w:rPr>
                <w:rFonts w:ascii="Arial" w:cs="Arial" w:eastAsia="Arial" w:hAnsi="Arial"/>
                <w:b/>
                <w:bCs/>
                <w:color w:val="00C8C8"/>
                <w:sz w:val="18"/>
                <w:szCs w:val="18"/>
              </w:rPr>
              <w:t xml:space="preserve">CORE PRINCIPLE</w:t>
            </w:r>
          </w:p>
          <w:p>
            <w:pPr>
              <w:spacing w:after="0" w:before="0"/>
            </w:pPr>
            <w:r>
              <w:rPr>
                <w:rFonts w:ascii="Arial" w:cs="Arial" w:eastAsia="Arial" w:hAnsi="Arial"/>
                <w:color w:val="000000"/>
                <w:sz w:val="21"/>
                <w:szCs w:val="21"/>
              </w:rPr>
              <w:t xml:space="preserve">The tool does not know what is true. It knows what is sourced. The standard is consistent regardless of accuracy. Real findings without citations receive the same high-risk classification as fabricated claims. This is the correct behavior.</w:t>
            </w:r>
          </w:p>
        </w:tc>
      </w:tr>
    </w:tbl>
    <w:p>
      <w:pPr>
        <w:spacing w:after="0" w:before="120"/>
      </w:pPr>
      <w:r>
        <w:t xml:space="preserve"/>
      </w:r>
    </w:p>
    <w:p>
      <w:pPr>
        <w:pStyle w:val="Heading2"/>
        <w:spacing w:after="160" w:before="320"/>
      </w:pPr>
      <w:r>
        <w:rPr>
          <w:rFonts w:ascii="Arial" w:cs="Arial" w:eastAsia="Arial" w:hAnsi="Arial"/>
          <w:b/>
          <w:bCs/>
          <w:color w:val="000000"/>
          <w:sz w:val="28"/>
          <w:szCs w:val="28"/>
        </w:rPr>
        <w:t xml:space="preserve">Why This Matters</w:t>
      </w:r>
    </w:p>
    <w:p>
      <w:pPr>
        <w:spacing w:after="120" w:before="80"/>
      </w:pPr>
      <w:r>
        <w:rPr>
          <w:rFonts w:ascii="Arial" w:cs="Arial" w:eastAsia="Arial" w:hAnsi="Arial"/>
          <w:color w:val="000000"/>
          <w:sz w:val="22"/>
          <w:szCs w:val="22"/>
        </w:rPr>
        <w:t xml:space="preserve">The lies that land are the ones wrapped in enough truth to feel credible. A fabricated metric surrounded by verifiable facts inherits the credibility of everything around it. That is the actual threat model for AI-assisted misinformation — not obvious hallucination, but plausible narrative embedded in accurate context.</w:t>
      </w:r>
    </w:p>
    <w:p>
      <w:pPr>
        <w:spacing w:after="120" w:before="80"/>
      </w:pPr>
      <w:r>
        <w:rPr>
          <w:rFonts w:ascii="Arial" w:cs="Arial" w:eastAsia="Arial" w:hAnsi="Arial"/>
          <w:color w:val="000000"/>
          <w:sz w:val="22"/>
          <w:szCs w:val="22"/>
        </w:rPr>
        <w:t xml:space="preserve">The audit tool addresses this threat at the claim level, not the document level. Individual claims are extracted, classified, and surfaced regardless of what surrounds them.</w:t>
      </w:r>
    </w:p>
    <w:p>
      <w:pPr>
        <w:spacing w:after="0" w:before="200"/>
      </w:pPr>
      <w:r>
        <w:t xml:space="preserve"/>
      </w:r>
    </w:p>
    <w:p>
      <w:r>
        <w:br w:type="page"/>
      </w:r>
    </w:p>
    <w:p>
      <w:pPr>
        <w:pStyle w:val="Heading1"/>
        <w:spacing w:after="200" w:before="400"/>
      </w:pPr>
      <w:r>
        <w:rPr>
          <w:rFonts w:ascii="Arial" w:cs="Arial" w:eastAsia="Arial" w:hAnsi="Arial"/>
          <w:b/>
          <w:bCs/>
          <w:color w:val="000000"/>
          <w:sz w:val="36"/>
          <w:szCs w:val="36"/>
        </w:rPr>
        <w:t xml:space="preserve">The Unified Framework</w:t>
      </w:r>
    </w:p>
    <w:p>
      <w:pPr>
        <w:pStyle w:val="Heading2"/>
        <w:spacing w:after="160" w:before="320"/>
      </w:pPr>
      <w:r>
        <w:rPr>
          <w:rFonts w:ascii="Arial" w:cs="Arial" w:eastAsia="Arial" w:hAnsi="Arial"/>
          <w:b/>
          <w:bCs/>
          <w:color w:val="000000"/>
          <w:sz w:val="28"/>
          <w:szCs w:val="28"/>
        </w:rPr>
        <w:t xml:space="preserve">Problem → Solution → Stack</w:t>
      </w:r>
    </w:p>
    <w:p>
      <w:pPr>
        <w:spacing w:after="120" w:before="80"/>
      </w:pPr>
      <w:r>
        <w:rPr>
          <w:rFonts w:ascii="Arial" w:cs="Arial" w:eastAsia="Arial" w:hAnsi="Arial"/>
          <w:color w:val="000000"/>
          <w:sz w:val="22"/>
          <w:szCs w:val="22"/>
        </w:rPr>
        <w:t xml:space="preserve">Each pillar discovered a problem and produced a working countermeasure. The three countermeasures are not redundant — they address different failure modes at different points in the conversation lifecycle.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Layer</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Fires</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Addresses</w:t>
            </w:r>
          </w:p>
        </w:tc>
        <w:tc>
          <w:tcPr>
            <w:tcW w:type="dxa" w:w="2340"/>
            <w:tcBorders>
              <w:top w:val="single" w:color="00C8C8" w:sz="1"/>
              <w:left w:val="single" w:color="00C8C8" w:sz="1"/>
              <w:bottom w:val="single" w:color="00C8C8" w:sz="1"/>
              <w:right w:val="single" w:color="00C8C8" w:sz="1"/>
            </w:tcBorders>
            <w:shd w:fill="004444" w:val="clear"/>
            <w:tcMar>
              <w:top w:type="dxa" w:w="80"/>
              <w:left w:type="dxa" w:w="120"/>
              <w:bottom w:type="dxa" w:w="80"/>
              <w:right w:type="dxa" w:w="120"/>
            </w:tcMar>
          </w:tcPr>
          <w:p>
            <w:r>
              <w:rPr>
                <w:rFonts w:ascii="Arial" w:cs="Arial" w:eastAsia="Arial" w:hAnsi="Arial"/>
                <w:b/>
                <w:bCs/>
                <w:color w:val="00C8C8"/>
                <w:sz w:val="20"/>
                <w:szCs w:val="20"/>
              </w:rPr>
              <w:t xml:space="preserve">Mechanism</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Quantum Frame Selector</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Pre-response</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Operating mode drift</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Circuit-selected context injection</w:t>
            </w:r>
          </w:p>
        </w:tc>
      </w:tr>
      <w:tr>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Relay Drift Research</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Research layer</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Compliment ratchet / feedback loops</w:t>
            </w:r>
          </w:p>
        </w:tc>
        <w:tc>
          <w:tcPr>
            <w:tcW w:type="dxa" w:w="2340"/>
            <w:tcBorders>
              <w:top w:val="single" w:color="CCDDDD" w:sz="1"/>
              <w:left w:val="single" w:color="CCDDDD" w:sz="1"/>
              <w:bottom w:val="single" w:color="CCDDDD" w:sz="1"/>
              <w:right w:val="single" w:color="CCDDDD"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Documented failure mode + correction protocol</w:t>
            </w:r>
          </w:p>
        </w:tc>
      </w:tr>
      <w:tr>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Evidence Audit Tool</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Post-response</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Narrative drift / unsourced claims</w:t>
            </w:r>
          </w:p>
        </w:tc>
        <w:tc>
          <w:tcPr>
            <w:tcW w:type="dxa" w:w="2340"/>
            <w:tcBorders>
              <w:top w:val="single" w:color="CCDDDD" w:sz="1"/>
              <w:left w:val="single" w:color="CCDDDD" w:sz="1"/>
              <w:bottom w:val="single" w:color="CCDDDD" w:sz="1"/>
              <w:right w:val="single" w:color="CCDDDD" w:sz="1"/>
            </w:tcBorders>
            <w:shd w:fill="F8FEFE" w:val="clear"/>
            <w:tcMar>
              <w:top w:type="dxa" w:w="80"/>
              <w:left w:type="dxa" w:w="120"/>
              <w:bottom w:type="dxa" w:w="80"/>
              <w:right w:type="dxa" w:w="120"/>
            </w:tcMar>
          </w:tcPr>
          <w:p>
            <w:r>
              <w:rPr>
                <w:rFonts w:ascii="Arial" w:cs="Arial" w:eastAsia="Arial" w:hAnsi="Arial"/>
                <w:color w:val="000000"/>
                <w:sz w:val="20"/>
                <w:szCs w:val="20"/>
              </w:rPr>
              <w:t xml:space="preserve">Claim classification + risk surfacing</w:t>
            </w:r>
          </w:p>
        </w:tc>
      </w:tr>
    </w:tbl>
    <w:p>
      <w:pPr>
        <w:spacing w:after="0" w:before="160"/>
      </w:pPr>
      <w:r>
        <w:t xml:space="preserve"/>
      </w:r>
    </w:p>
    <w:p>
      <w:pPr>
        <w:pStyle w:val="Heading2"/>
        <w:spacing w:after="160" w:before="320"/>
      </w:pPr>
      <w:r>
        <w:rPr>
          <w:rFonts w:ascii="Arial" w:cs="Arial" w:eastAsia="Arial" w:hAnsi="Arial"/>
          <w:b/>
          <w:bCs/>
          <w:color w:val="000000"/>
          <w:sz w:val="28"/>
          <w:szCs w:val="28"/>
        </w:rPr>
        <w:t xml:space="preserve">Why Three Layers</w:t>
      </w:r>
    </w:p>
    <w:p>
      <w:pPr>
        <w:spacing w:after="120" w:before="80"/>
      </w:pPr>
      <w:r>
        <w:rPr>
          <w:rFonts w:ascii="Arial" w:cs="Arial" w:eastAsia="Arial" w:hAnsi="Arial"/>
          <w:color w:val="000000"/>
          <w:sz w:val="22"/>
          <w:szCs w:val="22"/>
        </w:rPr>
        <w:t xml:space="preserve">The quantum layer cannot catch narrative drift — it anchors operating mode, not claim sourcing. The audit tool cannot prevent drift from starting — it catches what slipped through. The relay research documents the mechanism that makes both layers necessary, and shows what happens when neither is present.</w:t>
      </w:r>
    </w:p>
    <w:p>
      <w:pPr>
        <w:spacing w:after="0" w:before="80"/>
      </w:pPr>
      <w:r>
        <w:t xml:space="preserve"/>
      </w:r>
    </w:p>
    <w:p>
      <w:pPr>
        <w:spacing w:after="120" w:before="80"/>
      </w:pPr>
      <w:r>
        <w:rPr>
          <w:rFonts w:ascii="Arial" w:cs="Arial" w:eastAsia="Arial" w:hAnsi="Arial"/>
          <w:color w:val="000000"/>
          <w:sz w:val="22"/>
          <w:szCs w:val="22"/>
        </w:rPr>
        <w:t xml:space="preserve">Each layer was not designed in advance as part of a unified plan. Each was built in direct response to what the previous layer revealed it could not handle. The architecture is empirical, not theoretical. That is its strength.</w:t>
      </w:r>
    </w:p>
    <w:p>
      <w:pPr>
        <w:spacing w:after="0" w:before="120"/>
      </w:pPr>
      <w:r>
        <w:t xml:space="preserve"/>
      </w:r>
    </w:p>
    <w:p>
      <w:pPr>
        <w:pStyle w:val="Heading2"/>
        <w:spacing w:after="160" w:before="320"/>
      </w:pPr>
      <w:r>
        <w:rPr>
          <w:rFonts w:ascii="Arial" w:cs="Arial" w:eastAsia="Arial" w:hAnsi="Arial"/>
          <w:b/>
          <w:bCs/>
          <w:color w:val="000000"/>
          <w:sz w:val="28"/>
          <w:szCs w:val="28"/>
        </w:rPr>
        <w:t xml:space="preserve">Implications for AI Safety</w:t>
      </w:r>
    </w:p>
    <w:p>
      <w:pPr>
        <w:spacing w:after="120" w:before="80"/>
      </w:pPr>
      <w:r>
        <w:rPr>
          <w:rFonts w:ascii="Arial" w:cs="Arial" w:eastAsia="Arial" w:hAnsi="Arial"/>
          <w:color w:val="000000"/>
          <w:sz w:val="22"/>
          <w:szCs w:val="22"/>
        </w:rPr>
        <w:t xml:space="preserve">The dominant paradigm in AI safety relies on rule-based guardrails: explicit restrictions on outputs, content policies, and refusal behaviors. These are necessary but insufficient.</w:t>
      </w:r>
    </w:p>
    <w:p>
      <w:pPr>
        <w:spacing w:after="0" w:before="80"/>
      </w:pPr>
      <w:r>
        <w:t xml:space="preserve"/>
      </w:r>
    </w:p>
    <w:p>
      <w:pPr>
        <w:spacing w:after="120" w:before="80"/>
      </w:pPr>
      <w:r>
        <w:rPr>
          <w:rFonts w:ascii="Arial" w:cs="Arial" w:eastAsia="Arial" w:hAnsi="Arial"/>
          <w:color w:val="000000"/>
          <w:sz w:val="22"/>
          <w:szCs w:val="22"/>
        </w:rPr>
        <w:t xml:space="preserve">This framework documents a complementary approach: context-as-safety. Not as a replacement for rules, but as a second layer that addresses what rules cannot — the gradual erosion of epistemic caution through social pressure, the absorption of plausible narratives without sourcing, and the drift of operating mode when no external anchor is present.</w:t>
      </w:r>
    </w:p>
    <w:p>
      <w:pPr>
        <w:spacing w:after="0" w:before="80"/>
      </w:pPr>
      <w:r>
        <w:t xml:space="preserve"/>
      </w:r>
    </w:p>
    <w:p>
      <w:pPr>
        <w:pStyle w:val="ListParagraph"/>
        <w:numPr>
          <w:ilvl w:val="0"/>
          <w:numId w:val="2"/>
        </w:numPr>
        <w:spacing w:after="60" w:before="60"/>
      </w:pPr>
      <w:r>
        <w:rPr>
          <w:rFonts w:ascii="Arial" w:cs="Arial" w:eastAsia="Arial" w:hAnsi="Arial"/>
          <w:color w:val="000000"/>
          <w:sz w:val="22"/>
          <w:szCs w:val="22"/>
        </w:rPr>
        <w:t xml:space="preserve">Rules prevent violation. Context prevents drift.</w:t>
      </w:r>
    </w:p>
    <w:p>
      <w:pPr>
        <w:pStyle w:val="ListParagraph"/>
        <w:numPr>
          <w:ilvl w:val="0"/>
          <w:numId w:val="2"/>
        </w:numPr>
        <w:spacing w:after="60" w:before="60"/>
      </w:pPr>
      <w:r>
        <w:rPr>
          <w:rFonts w:ascii="Arial" w:cs="Arial" w:eastAsia="Arial" w:hAnsi="Arial"/>
          <w:color w:val="000000"/>
          <w:sz w:val="22"/>
          <w:szCs w:val="22"/>
        </w:rPr>
        <w:t xml:space="preserve">Rules are binary. Context is continuous.</w:t>
      </w:r>
    </w:p>
    <w:p>
      <w:pPr>
        <w:pStyle w:val="ListParagraph"/>
        <w:numPr>
          <w:ilvl w:val="0"/>
          <w:numId w:val="2"/>
        </w:numPr>
        <w:spacing w:after="60" w:before="60"/>
      </w:pPr>
      <w:r>
        <w:rPr>
          <w:rFonts w:ascii="Arial" w:cs="Arial" w:eastAsia="Arial" w:hAnsi="Arial"/>
          <w:color w:val="000000"/>
          <w:sz w:val="22"/>
          <w:szCs w:val="22"/>
        </w:rPr>
        <w:t xml:space="preserve">Rules are static. Context responds to conditions.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0C8C8" w:sz="16"/>
              <w:bottom w:val="none" w:color="FFFFFF" w:sz="0"/>
              <w:right w:val="none" w:color="FFFFFF" w:sz="0"/>
            </w:tcBorders>
            <w:shd w:fill="F0FAFA" w:val="clear"/>
            <w:tcMar>
              <w:top w:type="dxa" w:w="120"/>
              <w:left w:type="dxa" w:w="240"/>
              <w:bottom w:type="dxa" w:w="120"/>
              <w:right w:type="dxa" w:w="240"/>
            </w:tcMar>
          </w:tcPr>
          <w:p>
            <w:pPr>
              <w:spacing w:after="60" w:before="0"/>
            </w:pPr>
            <w:r>
              <w:rPr>
                <w:rFonts w:ascii="Arial" w:cs="Arial" w:eastAsia="Arial" w:hAnsi="Arial"/>
                <w:b/>
                <w:bCs/>
                <w:color w:val="00C8C8"/>
                <w:sz w:val="18"/>
                <w:szCs w:val="18"/>
              </w:rPr>
              <w:t xml:space="preserve">THE ARGUMENT</w:t>
            </w:r>
          </w:p>
          <w:p>
            <w:pPr>
              <w:spacing w:after="0" w:before="0"/>
            </w:pPr>
            <w:r>
              <w:rPr>
                <w:rFonts w:ascii="Arial" w:cs="Arial" w:eastAsia="Arial" w:hAnsi="Arial"/>
                <w:color w:val="000000"/>
                <w:sz w:val="21"/>
                <w:szCs w:val="21"/>
              </w:rPr>
              <w:t xml:space="preserve">The context argument does not require AI to be perfect. It requires AI to be correctable. Showing the failure mode alongside the correction mechanism is more honest and more defensible than showing only the working parts. This framework shows both — every time.</w:t>
            </w:r>
          </w:p>
        </w:tc>
      </w:tr>
    </w:tbl>
    <w:p>
      <w:pPr>
        <w:spacing w:after="0" w:before="200"/>
      </w:pPr>
      <w:r>
        <w:t xml:space="preserve"/>
      </w:r>
    </w:p>
    <w:p>
      <w:r>
        <w:br w:type="page"/>
      </w:r>
    </w:p>
    <w:p>
      <w:pPr>
        <w:pStyle w:val="Heading1"/>
        <w:spacing w:after="200" w:before="400"/>
      </w:pPr>
      <w:r>
        <w:rPr>
          <w:rFonts w:ascii="Arial" w:cs="Arial" w:eastAsia="Arial" w:hAnsi="Arial"/>
          <w:b/>
          <w:bCs/>
          <w:color w:val="000000"/>
          <w:sz w:val="36"/>
          <w:szCs w:val="36"/>
        </w:rPr>
        <w:t xml:space="preserve">Conclusion</w:t>
      </w:r>
    </w:p>
    <w:p>
      <w:pPr>
        <w:spacing w:after="120" w:before="80"/>
      </w:pPr>
      <w:r>
        <w:rPr>
          <w:rFonts w:ascii="Arial" w:cs="Arial" w:eastAsia="Arial" w:hAnsi="Arial"/>
          <w:color w:val="000000"/>
          <w:sz w:val="22"/>
          <w:szCs w:val="22"/>
        </w:rPr>
        <w:t xml:space="preserve">Three bodies of experimental work. Three distinct vulnerability types. Three working countermeasures. One production-deployed system.</w:t>
      </w:r>
    </w:p>
    <w:p>
      <w:pPr>
        <w:spacing w:after="0" w:before="80"/>
      </w:pPr>
      <w:r>
        <w:t xml:space="preserve"/>
      </w:r>
    </w:p>
    <w:p>
      <w:pPr>
        <w:spacing w:after="120" w:before="80"/>
      </w:pPr>
      <w:r>
        <w:rPr>
          <w:rFonts w:ascii="Arial" w:cs="Arial" w:eastAsia="Arial" w:hAnsi="Arial"/>
          <w:color w:val="000000"/>
          <w:sz w:val="22"/>
          <w:szCs w:val="22"/>
        </w:rPr>
        <w:t xml:space="preserve">The quantum context router has run across local simulator, AWS SV1, IonQ Forte-1, and IQM Garnet. The anomaly is consistent at 83–96% confidence across seven independent runs. The control qubit flip triangulation confirmed 4/4 predictions on real hardware.</w:t>
      </w:r>
    </w:p>
    <w:p>
      <w:pPr>
        <w:spacing w:after="0" w:before="80"/>
      </w:pPr>
      <w:r>
        <w:t xml:space="preserve"/>
      </w:r>
    </w:p>
    <w:p>
      <w:pPr>
        <w:spacing w:after="120" w:before="80"/>
      </w:pPr>
      <w:r>
        <w:rPr>
          <w:rFonts w:ascii="Arial" w:cs="Arial" w:eastAsia="Arial" w:hAnsi="Arial"/>
          <w:color w:val="000000"/>
          <w:sz w:val="22"/>
          <w:szCs w:val="22"/>
        </w:rPr>
        <w:t xml:space="preserve">The relay experiments documented the compliment ratchet mechanism, identified the asymmetry between technical and narrative drift, and produced the direct requirement for the audit system.</w:t>
      </w:r>
    </w:p>
    <w:p>
      <w:pPr>
        <w:spacing w:after="0" w:before="80"/>
      </w:pPr>
      <w:r>
        <w:t xml:space="preserve"/>
      </w:r>
    </w:p>
    <w:p>
      <w:pPr>
        <w:spacing w:after="120" w:before="80"/>
      </w:pPr>
      <w:r>
        <w:rPr>
          <w:rFonts w:ascii="Arial" w:cs="Arial" w:eastAsia="Arial" w:hAnsi="Arial"/>
          <w:color w:val="000000"/>
          <w:sz w:val="22"/>
          <w:szCs w:val="22"/>
        </w:rPr>
        <w:t xml:space="preserve">The evidence audit tool held against five engineered attack vectors including a compound attack designed to hide a fabricated metric inside accurate technical data. The tool's core principle — sourcing, not truth — proved to be the correct standard.</w:t>
      </w:r>
    </w:p>
    <w:p>
      <w:pPr>
        <w:spacing w:after="0" w:before="120"/>
      </w:pPr>
      <w:r>
        <w:t xml:space="preserve"/>
      </w:r>
    </w:p>
    <w:p>
      <w:pPr>
        <w:spacing w:after="120" w:before="80"/>
      </w:pPr>
      <w:r>
        <w:rPr>
          <w:rFonts w:ascii="Arial" w:cs="Arial" w:eastAsia="Arial" w:hAnsi="Arial"/>
          <w:color w:val="000000"/>
          <w:sz w:val="22"/>
          <w:szCs w:val="22"/>
        </w:rPr>
        <w:t xml:space="preserve">The next phase of research will extend this framework into formal publication, NSF SBIR Phase I application, and continued hardware validation on IonQ Forte-1.</w:t>
      </w:r>
    </w:p>
    <w:p>
      <w:pPr>
        <w:spacing w:after="0" w:before="200"/>
      </w:pPr>
      <w:r>
        <w:t xml:space="preserve"/>
      </w:r>
    </w:p>
    <w:p>
      <w:pPr>
        <w:pBdr>
          <w:bottom w:val="single" w:color="00C8C8" w:sz="6" w:space="1"/>
        </w:pBdr>
        <w:spacing w:after="240" w:before="240"/>
      </w:pPr>
      <w:r>
        <w:t xml:space="preserve"/>
      </w:r>
    </w:p>
    <w:p>
      <w:pPr>
        <w:spacing w:after="0" w:before="120"/>
      </w:pPr>
      <w:r>
        <w:t xml:space="preserve"/>
      </w:r>
    </w:p>
    <w:p>
      <w:pPr>
        <w:spacing w:after="40" w:before="0"/>
        <w:jc w:val="center"/>
      </w:pPr>
      <w:r>
        <w:rPr>
          <w:rFonts w:ascii="Arial" w:cs="Arial" w:eastAsia="Arial" w:hAnsi="Arial"/>
          <w:b/>
          <w:bCs/>
          <w:color w:val="00C8C8"/>
          <w:sz w:val="22"/>
          <w:szCs w:val="22"/>
        </w:rPr>
        <w:t xml:space="preserve">ChronoAI Solutions</w:t>
      </w:r>
    </w:p>
    <w:p>
      <w:pPr>
        <w:spacing w:after="40" w:before="0"/>
        <w:jc w:val="center"/>
      </w:pPr>
      <w:r>
        <w:rPr>
          <w:rFonts w:ascii="Arial" w:cs="Arial" w:eastAsia="Arial" w:hAnsi="Arial"/>
          <w:color w:val="4A6670"/>
          <w:sz w:val="20"/>
          <w:szCs w:val="20"/>
        </w:rPr>
        <w:t xml:space="preserve">chronoaisolutions.com  ·  github.com/michaelfullmer</w:t>
      </w:r>
    </w:p>
    <w:p>
      <w:pPr>
        <w:spacing w:after="40" w:before="0"/>
        <w:jc w:val="center"/>
      </w:pPr>
      <w:r>
        <w:rPr>
          <w:rFonts w:ascii="Arial" w:cs="Arial" w:eastAsia="Arial" w:hAnsi="Arial"/>
          <w:color w:val="4A6670"/>
          <w:sz w:val="20"/>
          <w:szCs w:val="20"/>
        </w:rPr>
        <w:t xml:space="preserve">SAM UEI: C1Z3UGYGXZ19</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4A6670"/>
        <w:sz w:val="18"/>
        <w:szCs w:val="18"/>
      </w:rPr>
      <w:t xml:space="preserve">ChronoAI Solutions  ·  Context as a Safety Mechanism  ·  May 2026  ·  Page </w:t>
    </w:r>
    <w:r>
      <w:rPr>
        <w:rFonts w:ascii="Arial" w:cs="Arial" w:eastAsia="Arial" w:hAnsi="Arial"/>
        <w:color w:val="4A667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000000"/>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00000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2026-05-18T05:44:16.292Z</dcterms:created>
  <dcterms:modified xsi:type="dcterms:W3CDTF">2026-05-18T05:44:16.292Z</dcterms:modified>
</cp:coreProperties>
</file>

<file path=docProps/custom.xml><?xml version="1.0" encoding="utf-8"?>
<Properties xmlns="http://schemas.openxmlformats.org/officeDocument/2006/custom-properties" xmlns:vt="http://schemas.openxmlformats.org/officeDocument/2006/docPropsVTypes"/>
</file>